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621A" w14:textId="77777777" w:rsidR="00522F52" w:rsidRDefault="00522F52">
      <w:pPr>
        <w:pStyle w:val="Title"/>
        <w:spacing w:line="254" w:lineRule="auto"/>
        <w:rPr>
          <w:w w:val="90"/>
        </w:rPr>
      </w:pPr>
    </w:p>
    <w:p w14:paraId="7F702E63" w14:textId="5A00DA55" w:rsidR="00CF6712" w:rsidRDefault="008F74DC" w:rsidP="008F74DC">
      <w:pPr>
        <w:pStyle w:val="Title"/>
        <w:spacing w:line="254" w:lineRule="auto"/>
      </w:pPr>
      <w:r>
        <w:rPr>
          <w:noProof/>
        </w:rPr>
        <w:drawing>
          <wp:anchor distT="0" distB="0" distL="0" distR="0" simplePos="0" relativeHeight="251658240" behindDoc="0" locked="0" layoutInCell="1" allowOverlap="1" wp14:anchorId="1B7E8A59" wp14:editId="1403288C">
            <wp:simplePos x="0" y="0"/>
            <wp:positionH relativeFrom="page">
              <wp:posOffset>1151890</wp:posOffset>
            </wp:positionH>
            <wp:positionV relativeFrom="paragraph">
              <wp:posOffset>541020</wp:posOffset>
            </wp:positionV>
            <wp:extent cx="1138817" cy="100584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38817" cy="1005840"/>
                    </a:xfrm>
                    <a:prstGeom prst="rect">
                      <a:avLst/>
                    </a:prstGeom>
                  </pic:spPr>
                </pic:pic>
              </a:graphicData>
            </a:graphic>
          </wp:anchor>
        </w:drawing>
      </w:r>
      <w:r w:rsidR="00F93E83">
        <w:rPr>
          <w:w w:val="90"/>
        </w:rPr>
        <w:t>This</w:t>
      </w:r>
      <w:r w:rsidR="00F93E83">
        <w:rPr>
          <w:spacing w:val="11"/>
          <w:w w:val="90"/>
        </w:rPr>
        <w:t xml:space="preserve"> </w:t>
      </w:r>
      <w:r w:rsidR="00F93E83">
        <w:rPr>
          <w:w w:val="90"/>
        </w:rPr>
        <w:t>document</w:t>
      </w:r>
      <w:r w:rsidR="00F93E83">
        <w:rPr>
          <w:spacing w:val="12"/>
          <w:w w:val="90"/>
        </w:rPr>
        <w:t xml:space="preserve"> </w:t>
      </w:r>
      <w:r w:rsidR="00F93E83">
        <w:rPr>
          <w:w w:val="90"/>
        </w:rPr>
        <w:t>is</w:t>
      </w:r>
      <w:r w:rsidR="00F93E83">
        <w:rPr>
          <w:spacing w:val="12"/>
          <w:w w:val="90"/>
        </w:rPr>
        <w:t xml:space="preserve"> </w:t>
      </w:r>
      <w:r w:rsidR="00F93E83">
        <w:rPr>
          <w:w w:val="90"/>
        </w:rPr>
        <w:t>unless</w:t>
      </w:r>
      <w:r w:rsidR="00F93E83">
        <w:rPr>
          <w:spacing w:val="12"/>
          <w:w w:val="90"/>
        </w:rPr>
        <w:t xml:space="preserve"> </w:t>
      </w:r>
      <w:r w:rsidR="00F93E83">
        <w:rPr>
          <w:w w:val="90"/>
        </w:rPr>
        <w:t>otherwise</w:t>
      </w:r>
      <w:r w:rsidR="00F93E83">
        <w:rPr>
          <w:spacing w:val="6"/>
          <w:w w:val="90"/>
        </w:rPr>
        <w:t xml:space="preserve"> </w:t>
      </w:r>
      <w:r w:rsidR="00F93E83">
        <w:rPr>
          <w:w w:val="90"/>
        </w:rPr>
        <w:t>stated</w:t>
      </w:r>
      <w:r w:rsidR="00F93E83">
        <w:rPr>
          <w:spacing w:val="-67"/>
          <w:w w:val="90"/>
        </w:rPr>
        <w:t xml:space="preserve"> </w:t>
      </w:r>
      <w:r w:rsidR="00F93E83">
        <w:t>Restricted</w:t>
      </w:r>
    </w:p>
    <w:p w14:paraId="0DB081B8" w14:textId="3ED595C7" w:rsidR="00CF6712" w:rsidRDefault="00CF6712">
      <w:pPr>
        <w:pStyle w:val="BodyText"/>
        <w:rPr>
          <w:sz w:val="20"/>
        </w:rPr>
      </w:pPr>
    </w:p>
    <w:p w14:paraId="1676814C" w14:textId="18FE6AD6" w:rsidR="00E4682C" w:rsidRPr="008F74DC" w:rsidRDefault="00E4682C" w:rsidP="00E4682C">
      <w:pPr>
        <w:pStyle w:val="BodyText"/>
        <w:spacing w:before="9"/>
        <w:rPr>
          <w:bCs/>
          <w:sz w:val="18"/>
          <w:szCs w:val="18"/>
        </w:rPr>
      </w:pPr>
      <w:r w:rsidRPr="008F74DC">
        <w:rPr>
          <w:b/>
          <w:sz w:val="18"/>
          <w:szCs w:val="18"/>
          <w:u w:val="single"/>
        </w:rPr>
        <w:t>Annual Accounting Report for the Annual General Meeting</w:t>
      </w:r>
    </w:p>
    <w:p w14:paraId="5B4B0731" w14:textId="77777777" w:rsidR="00E4682C" w:rsidRPr="008F74DC" w:rsidRDefault="00E4682C" w:rsidP="00E4682C">
      <w:pPr>
        <w:pStyle w:val="BodyText"/>
        <w:spacing w:before="9"/>
        <w:rPr>
          <w:bCs/>
          <w:sz w:val="18"/>
          <w:szCs w:val="18"/>
        </w:rPr>
      </w:pPr>
    </w:p>
    <w:p w14:paraId="685FC0AF" w14:textId="676D8D97" w:rsidR="00E4682C" w:rsidRPr="008F74DC" w:rsidRDefault="00E4682C" w:rsidP="00E4682C">
      <w:pPr>
        <w:pStyle w:val="BodyText"/>
        <w:spacing w:before="9"/>
        <w:rPr>
          <w:b/>
          <w:sz w:val="18"/>
          <w:szCs w:val="18"/>
        </w:rPr>
      </w:pPr>
      <w:r w:rsidRPr="008F74DC">
        <w:rPr>
          <w:b/>
          <w:color w:val="FF0000"/>
          <w:sz w:val="18"/>
          <w:szCs w:val="18"/>
        </w:rPr>
        <w:t>Financial Overview:</w:t>
      </w:r>
    </w:p>
    <w:p w14:paraId="3C6FEA44" w14:textId="77777777" w:rsidR="00E4682C" w:rsidRPr="008F74DC" w:rsidRDefault="00E4682C" w:rsidP="00E4682C">
      <w:pPr>
        <w:pStyle w:val="BodyText"/>
        <w:spacing w:before="9"/>
        <w:rPr>
          <w:bCs/>
          <w:sz w:val="18"/>
          <w:szCs w:val="18"/>
        </w:rPr>
      </w:pPr>
    </w:p>
    <w:p w14:paraId="2C7B13BD" w14:textId="77777777" w:rsidR="00E4682C" w:rsidRPr="008F74DC" w:rsidRDefault="00E4682C" w:rsidP="00E4682C">
      <w:pPr>
        <w:pStyle w:val="BodyText"/>
        <w:spacing w:before="9"/>
        <w:rPr>
          <w:bCs/>
          <w:sz w:val="18"/>
          <w:szCs w:val="18"/>
        </w:rPr>
      </w:pPr>
      <w:r w:rsidRPr="008F74DC">
        <w:rPr>
          <w:bCs/>
          <w:sz w:val="18"/>
          <w:szCs w:val="18"/>
        </w:rPr>
        <w:t>At the outset of the fiscal year, the East Midlands region commenced with a robust opening balance of £18,290.33.</w:t>
      </w:r>
    </w:p>
    <w:p w14:paraId="08B0F5C2" w14:textId="77777777" w:rsidR="00E4682C" w:rsidRPr="008F74DC" w:rsidRDefault="00E4682C" w:rsidP="00E4682C">
      <w:pPr>
        <w:pStyle w:val="BodyText"/>
        <w:spacing w:before="9"/>
        <w:rPr>
          <w:bCs/>
          <w:sz w:val="18"/>
          <w:szCs w:val="18"/>
        </w:rPr>
      </w:pPr>
    </w:p>
    <w:p w14:paraId="07D0BA85" w14:textId="6DC27E9D" w:rsidR="00E4682C" w:rsidRPr="008F74DC" w:rsidRDefault="00E4682C" w:rsidP="00E4682C">
      <w:pPr>
        <w:pStyle w:val="BodyText"/>
        <w:spacing w:before="9"/>
        <w:rPr>
          <w:b/>
          <w:color w:val="FF0000"/>
          <w:sz w:val="18"/>
          <w:szCs w:val="18"/>
        </w:rPr>
      </w:pPr>
      <w:r w:rsidRPr="008F74DC">
        <w:rPr>
          <w:b/>
          <w:color w:val="FF0000"/>
          <w:sz w:val="18"/>
          <w:szCs w:val="18"/>
        </w:rPr>
        <w:t>Regional Activity Highlights</w:t>
      </w:r>
      <w:r w:rsidR="008F74DC" w:rsidRPr="008F74DC">
        <w:rPr>
          <w:b/>
          <w:color w:val="FF0000"/>
          <w:sz w:val="18"/>
          <w:szCs w:val="18"/>
        </w:rPr>
        <w:t>:</w:t>
      </w:r>
    </w:p>
    <w:p w14:paraId="6D9025C7" w14:textId="77777777" w:rsidR="00E4682C" w:rsidRPr="008F74DC" w:rsidRDefault="00E4682C" w:rsidP="00E4682C">
      <w:pPr>
        <w:pStyle w:val="BodyText"/>
        <w:spacing w:before="9"/>
        <w:rPr>
          <w:bCs/>
          <w:sz w:val="18"/>
          <w:szCs w:val="18"/>
        </w:rPr>
      </w:pPr>
    </w:p>
    <w:p w14:paraId="4E063C9A" w14:textId="77777777" w:rsidR="00E4682C" w:rsidRPr="008F74DC" w:rsidRDefault="00E4682C" w:rsidP="00E4682C">
      <w:pPr>
        <w:pStyle w:val="BodyText"/>
        <w:spacing w:before="9"/>
        <w:rPr>
          <w:bCs/>
          <w:sz w:val="18"/>
          <w:szCs w:val="18"/>
        </w:rPr>
      </w:pPr>
      <w:r w:rsidRPr="008F74DC">
        <w:rPr>
          <w:bCs/>
          <w:sz w:val="18"/>
          <w:szCs w:val="18"/>
        </w:rPr>
        <w:t>Throughout 2022, our community experienced a revitalization of active participation in sports and competitive events. While it is important to note that attendance levels in racing and club activities remained below pre-pandemic standards, this situation continued to pose financial challenges for clubs and event organizers. This predicament motivated our committee to proactively explore ways to provide comprehensive support across the East Midlands, including facilitating Continuing Professional Development (CPD) opportunities for club leaders and supporting the dedicated Technical Officials (TO/MTO) volunteers who play an indispensable role in ensuring the safety of our races.</w:t>
      </w:r>
    </w:p>
    <w:p w14:paraId="604FBCC8" w14:textId="77777777" w:rsidR="00E4682C" w:rsidRPr="008F74DC" w:rsidRDefault="00E4682C" w:rsidP="00E4682C">
      <w:pPr>
        <w:pStyle w:val="BodyText"/>
        <w:spacing w:before="9"/>
        <w:rPr>
          <w:b/>
          <w:color w:val="FF0000"/>
          <w:sz w:val="18"/>
          <w:szCs w:val="18"/>
        </w:rPr>
      </w:pPr>
    </w:p>
    <w:p w14:paraId="6E0A2084" w14:textId="2F714839" w:rsidR="00E4682C" w:rsidRPr="008F74DC" w:rsidRDefault="00E4682C" w:rsidP="00E4682C">
      <w:pPr>
        <w:pStyle w:val="BodyText"/>
        <w:spacing w:before="9"/>
        <w:rPr>
          <w:b/>
          <w:sz w:val="18"/>
          <w:szCs w:val="18"/>
        </w:rPr>
      </w:pPr>
      <w:r w:rsidRPr="008F74DC">
        <w:rPr>
          <w:b/>
          <w:color w:val="FF0000"/>
          <w:sz w:val="18"/>
          <w:szCs w:val="18"/>
        </w:rPr>
        <w:t>Financial Allocations:</w:t>
      </w:r>
    </w:p>
    <w:p w14:paraId="158E5C52" w14:textId="77777777" w:rsidR="00E4682C" w:rsidRPr="008F74DC" w:rsidRDefault="00E4682C" w:rsidP="00E4682C">
      <w:pPr>
        <w:pStyle w:val="BodyText"/>
        <w:spacing w:before="9"/>
        <w:rPr>
          <w:bCs/>
          <w:sz w:val="18"/>
          <w:szCs w:val="18"/>
        </w:rPr>
      </w:pPr>
    </w:p>
    <w:p w14:paraId="11786CB7" w14:textId="0F350209" w:rsidR="00E4682C" w:rsidRPr="008F74DC" w:rsidRDefault="00E4682C" w:rsidP="008F74DC">
      <w:pPr>
        <w:pStyle w:val="BodyText"/>
        <w:numPr>
          <w:ilvl w:val="0"/>
          <w:numId w:val="1"/>
        </w:numPr>
        <w:spacing w:before="9"/>
        <w:ind w:left="360"/>
        <w:rPr>
          <w:bCs/>
          <w:sz w:val="18"/>
          <w:szCs w:val="18"/>
        </w:rPr>
      </w:pPr>
      <w:r w:rsidRPr="008F74DC">
        <w:rPr>
          <w:bCs/>
          <w:sz w:val="18"/>
          <w:szCs w:val="18"/>
        </w:rPr>
        <w:t>Technical Officials Support: We allocated just under £1000 to support our Technical Officials.</w:t>
      </w:r>
    </w:p>
    <w:p w14:paraId="53EF616D" w14:textId="77777777" w:rsidR="00E4682C" w:rsidRPr="008F74DC" w:rsidRDefault="00E4682C" w:rsidP="008F74DC">
      <w:pPr>
        <w:pStyle w:val="BodyText"/>
        <w:spacing w:before="9"/>
        <w:rPr>
          <w:bCs/>
          <w:sz w:val="18"/>
          <w:szCs w:val="18"/>
        </w:rPr>
      </w:pPr>
    </w:p>
    <w:p w14:paraId="21796E3D" w14:textId="3F5984D8" w:rsidR="00E4682C" w:rsidRPr="008F74DC" w:rsidRDefault="00165380" w:rsidP="008F74DC">
      <w:pPr>
        <w:pStyle w:val="BodyText"/>
        <w:numPr>
          <w:ilvl w:val="0"/>
          <w:numId w:val="1"/>
        </w:numPr>
        <w:spacing w:before="9"/>
        <w:ind w:left="360"/>
        <w:rPr>
          <w:bCs/>
          <w:sz w:val="18"/>
          <w:szCs w:val="18"/>
        </w:rPr>
      </w:pPr>
      <w:r w:rsidRPr="008F74DC">
        <w:rPr>
          <w:bCs/>
          <w:sz w:val="18"/>
          <w:szCs w:val="18"/>
        </w:rPr>
        <w:t>Inter-Regional</w:t>
      </w:r>
      <w:r w:rsidR="00E4682C" w:rsidRPr="008F74DC">
        <w:rPr>
          <w:bCs/>
          <w:sz w:val="18"/>
          <w:szCs w:val="18"/>
        </w:rPr>
        <w:t xml:space="preserve"> Junior Championships (IRC): Our commitment to the IRC remained high, as the East Midlands did not qualify for financial assistance from British Triathlon due to our substantial financial reserves. The total cost of supporting the IRCs in 2022 amounted to approximately £2000.00. In recognition of our environmental responsibilities, we are considering more sustainable options for the supply of personalized triathlon kit for future events.</w:t>
      </w:r>
    </w:p>
    <w:p w14:paraId="4A86D341" w14:textId="77777777" w:rsidR="00E4682C" w:rsidRPr="008F74DC" w:rsidRDefault="00E4682C" w:rsidP="008F74DC">
      <w:pPr>
        <w:pStyle w:val="BodyText"/>
        <w:spacing w:before="9"/>
        <w:rPr>
          <w:bCs/>
          <w:sz w:val="18"/>
          <w:szCs w:val="18"/>
        </w:rPr>
      </w:pPr>
    </w:p>
    <w:p w14:paraId="31634E30" w14:textId="684A2018" w:rsidR="00E4682C" w:rsidRPr="008F74DC" w:rsidRDefault="00E4682C" w:rsidP="008F74DC">
      <w:pPr>
        <w:pStyle w:val="BodyText"/>
        <w:numPr>
          <w:ilvl w:val="0"/>
          <w:numId w:val="1"/>
        </w:numPr>
        <w:spacing w:before="9"/>
        <w:ind w:left="360"/>
        <w:rPr>
          <w:bCs/>
          <w:sz w:val="18"/>
          <w:szCs w:val="18"/>
        </w:rPr>
      </w:pPr>
      <w:r w:rsidRPr="008F74DC">
        <w:rPr>
          <w:bCs/>
          <w:sz w:val="18"/>
          <w:szCs w:val="18"/>
        </w:rPr>
        <w:t>Continuing Professional Development (CPD):The remaining expenses, approximately £500, were designated for CPD support.</w:t>
      </w:r>
    </w:p>
    <w:p w14:paraId="49BB5EA7" w14:textId="77777777" w:rsidR="00E4682C" w:rsidRPr="008F74DC" w:rsidRDefault="00E4682C" w:rsidP="008F74DC">
      <w:pPr>
        <w:pStyle w:val="BodyText"/>
        <w:spacing w:before="9"/>
        <w:rPr>
          <w:bCs/>
          <w:sz w:val="18"/>
          <w:szCs w:val="18"/>
        </w:rPr>
      </w:pPr>
    </w:p>
    <w:p w14:paraId="342B16FE" w14:textId="1AB06847" w:rsidR="00E4682C" w:rsidRPr="008F74DC" w:rsidRDefault="00E4682C" w:rsidP="00E4682C">
      <w:pPr>
        <w:pStyle w:val="BodyText"/>
        <w:spacing w:before="9"/>
        <w:rPr>
          <w:b/>
          <w:color w:val="FF0000"/>
          <w:sz w:val="18"/>
          <w:szCs w:val="18"/>
        </w:rPr>
      </w:pPr>
      <w:r w:rsidRPr="008F74DC">
        <w:rPr>
          <w:b/>
          <w:color w:val="FF0000"/>
          <w:sz w:val="18"/>
          <w:szCs w:val="18"/>
        </w:rPr>
        <w:t>Year-End Financial Position:</w:t>
      </w:r>
    </w:p>
    <w:p w14:paraId="741DDE72" w14:textId="77777777" w:rsidR="00E4682C" w:rsidRPr="008F74DC" w:rsidRDefault="00E4682C" w:rsidP="00E4682C">
      <w:pPr>
        <w:pStyle w:val="BodyText"/>
        <w:spacing w:before="9"/>
        <w:rPr>
          <w:bCs/>
          <w:sz w:val="18"/>
          <w:szCs w:val="18"/>
        </w:rPr>
      </w:pPr>
    </w:p>
    <w:p w14:paraId="38EBA2E4" w14:textId="6DA11C23" w:rsidR="00E4682C" w:rsidRPr="008F74DC" w:rsidRDefault="00E4682C" w:rsidP="00E4682C">
      <w:pPr>
        <w:pStyle w:val="BodyText"/>
        <w:spacing w:before="9"/>
        <w:rPr>
          <w:bCs/>
          <w:sz w:val="18"/>
          <w:szCs w:val="18"/>
        </w:rPr>
      </w:pPr>
      <w:r w:rsidRPr="008F74DC">
        <w:rPr>
          <w:bCs/>
          <w:sz w:val="18"/>
          <w:szCs w:val="18"/>
        </w:rPr>
        <w:t>As of December 31, 202</w:t>
      </w:r>
      <w:r w:rsidR="00165380" w:rsidRPr="008F74DC">
        <w:rPr>
          <w:bCs/>
          <w:sz w:val="18"/>
          <w:szCs w:val="18"/>
        </w:rPr>
        <w:t>2</w:t>
      </w:r>
      <w:r w:rsidRPr="008F74DC">
        <w:rPr>
          <w:bCs/>
          <w:sz w:val="18"/>
          <w:szCs w:val="18"/>
        </w:rPr>
        <w:t xml:space="preserve">, our financial position stood at £14,948.84, representing </w:t>
      </w:r>
      <w:r w:rsidR="00165380" w:rsidRPr="008F74DC">
        <w:rPr>
          <w:bCs/>
          <w:sz w:val="18"/>
          <w:szCs w:val="18"/>
        </w:rPr>
        <w:t>a decrease of (</w:t>
      </w:r>
      <w:r w:rsidRPr="008F74DC">
        <w:rPr>
          <w:bCs/>
          <w:sz w:val="18"/>
          <w:szCs w:val="18"/>
        </w:rPr>
        <w:t>18%</w:t>
      </w:r>
      <w:r w:rsidR="00165380" w:rsidRPr="008F74DC">
        <w:rPr>
          <w:bCs/>
          <w:sz w:val="18"/>
          <w:szCs w:val="18"/>
        </w:rPr>
        <w:t>)</w:t>
      </w:r>
      <w:r w:rsidRPr="008F74DC">
        <w:rPr>
          <w:bCs/>
          <w:sz w:val="18"/>
          <w:szCs w:val="18"/>
        </w:rPr>
        <w:t xml:space="preserve"> of our available funds.</w:t>
      </w:r>
    </w:p>
    <w:p w14:paraId="42D4D8D3" w14:textId="77777777" w:rsidR="00E4682C" w:rsidRPr="008F74DC" w:rsidRDefault="00E4682C" w:rsidP="00E4682C">
      <w:pPr>
        <w:pStyle w:val="BodyText"/>
        <w:spacing w:before="9"/>
        <w:rPr>
          <w:bCs/>
          <w:sz w:val="18"/>
          <w:szCs w:val="18"/>
        </w:rPr>
      </w:pPr>
    </w:p>
    <w:p w14:paraId="7A8EE1E1" w14:textId="3A08FA04" w:rsidR="00E4682C" w:rsidRPr="008F74DC" w:rsidRDefault="00E4682C" w:rsidP="00E4682C">
      <w:pPr>
        <w:pStyle w:val="BodyText"/>
        <w:spacing w:before="9"/>
        <w:rPr>
          <w:b/>
          <w:color w:val="FF0000"/>
          <w:sz w:val="18"/>
          <w:szCs w:val="18"/>
        </w:rPr>
      </w:pPr>
      <w:r w:rsidRPr="008F74DC">
        <w:rPr>
          <w:b/>
          <w:color w:val="FF0000"/>
          <w:sz w:val="18"/>
          <w:szCs w:val="18"/>
        </w:rPr>
        <w:t>Financial Strategy and Commitment:</w:t>
      </w:r>
    </w:p>
    <w:p w14:paraId="567C5CAA" w14:textId="77777777" w:rsidR="00E4682C" w:rsidRPr="008F74DC" w:rsidRDefault="00E4682C" w:rsidP="00E4682C">
      <w:pPr>
        <w:pStyle w:val="BodyText"/>
        <w:spacing w:before="9"/>
        <w:rPr>
          <w:bCs/>
          <w:sz w:val="18"/>
          <w:szCs w:val="18"/>
        </w:rPr>
      </w:pPr>
    </w:p>
    <w:p w14:paraId="7BFBBD32" w14:textId="48BFED62" w:rsidR="00E4682C" w:rsidRPr="008F74DC" w:rsidRDefault="00E4682C" w:rsidP="00E4682C">
      <w:pPr>
        <w:pStyle w:val="BodyText"/>
        <w:spacing w:before="9"/>
        <w:rPr>
          <w:bCs/>
          <w:sz w:val="18"/>
          <w:szCs w:val="18"/>
        </w:rPr>
      </w:pPr>
      <w:r w:rsidRPr="008F74DC">
        <w:rPr>
          <w:bCs/>
          <w:sz w:val="18"/>
          <w:szCs w:val="18"/>
        </w:rPr>
        <w:t>Our financial policy prioriti</w:t>
      </w:r>
      <w:r w:rsidR="00165380" w:rsidRPr="008F74DC">
        <w:rPr>
          <w:bCs/>
          <w:sz w:val="18"/>
          <w:szCs w:val="18"/>
        </w:rPr>
        <w:t>s</w:t>
      </w:r>
      <w:r w:rsidRPr="008F74DC">
        <w:rPr>
          <w:bCs/>
          <w:sz w:val="18"/>
          <w:szCs w:val="18"/>
        </w:rPr>
        <w:t xml:space="preserve">es maintaining adequate reserves to ensure that the regional committee has sufficient capital to meet the needs of the region. We are dedicated to allocating a minimum of 80% and a maximum of 90% of the income generated within the year to support the region, its clubs, and athletes. We continually review our reserves annually. </w:t>
      </w:r>
    </w:p>
    <w:p w14:paraId="03962665" w14:textId="77777777" w:rsidR="00E4682C" w:rsidRPr="008F74DC" w:rsidRDefault="00E4682C" w:rsidP="00E4682C">
      <w:pPr>
        <w:pStyle w:val="BodyText"/>
        <w:spacing w:before="9"/>
        <w:rPr>
          <w:bCs/>
          <w:sz w:val="18"/>
          <w:szCs w:val="18"/>
        </w:rPr>
      </w:pPr>
    </w:p>
    <w:p w14:paraId="324BB4A7" w14:textId="2087AEFB" w:rsidR="00E4682C" w:rsidRPr="008F74DC" w:rsidRDefault="00E4682C" w:rsidP="00E4682C">
      <w:pPr>
        <w:pStyle w:val="BodyText"/>
        <w:spacing w:before="9"/>
        <w:rPr>
          <w:b/>
          <w:color w:val="FF0000"/>
          <w:sz w:val="18"/>
          <w:szCs w:val="18"/>
        </w:rPr>
      </w:pPr>
      <w:r w:rsidRPr="008F74DC">
        <w:rPr>
          <w:b/>
          <w:color w:val="FF0000"/>
          <w:sz w:val="18"/>
          <w:szCs w:val="18"/>
        </w:rPr>
        <w:t>Open Invitation:</w:t>
      </w:r>
    </w:p>
    <w:p w14:paraId="1D5E3AD8" w14:textId="77777777" w:rsidR="00E4682C" w:rsidRPr="008F74DC" w:rsidRDefault="00E4682C" w:rsidP="00E4682C">
      <w:pPr>
        <w:pStyle w:val="BodyText"/>
        <w:spacing w:before="9"/>
        <w:rPr>
          <w:bCs/>
          <w:sz w:val="18"/>
          <w:szCs w:val="18"/>
        </w:rPr>
      </w:pPr>
    </w:p>
    <w:p w14:paraId="708E430C" w14:textId="43043195" w:rsidR="00CF6712" w:rsidRPr="008F74DC" w:rsidRDefault="00E4682C" w:rsidP="00E4682C">
      <w:pPr>
        <w:pStyle w:val="BodyText"/>
        <w:spacing w:before="9"/>
        <w:rPr>
          <w:bCs/>
          <w:sz w:val="18"/>
          <w:szCs w:val="18"/>
        </w:rPr>
      </w:pPr>
      <w:r w:rsidRPr="008F74DC">
        <w:rPr>
          <w:bCs/>
          <w:sz w:val="18"/>
          <w:szCs w:val="18"/>
        </w:rPr>
        <w:t>We encourage all club representatives to approach the committee with initiatives they believe would enhance the value of the East Midlands triathlon community. We convene every 4-6 weeks to discuss the region, ensuring that your ideas will be addressed and responded to promptly. As a committee, we are deeply committed to leading the way in supporting, engaging, and promoting participation within the East Midlands.</w:t>
      </w:r>
    </w:p>
    <w:p w14:paraId="5DA3D405" w14:textId="77777777" w:rsidR="00CF6712" w:rsidRPr="008F74DC" w:rsidRDefault="00CF6712" w:rsidP="009B0E4F">
      <w:pPr>
        <w:pStyle w:val="BodyText"/>
        <w:spacing w:before="3"/>
        <w:rPr>
          <w:b/>
          <w:sz w:val="18"/>
          <w:szCs w:val="18"/>
        </w:rPr>
      </w:pPr>
    </w:p>
    <w:p w14:paraId="09DCDD23" w14:textId="77777777" w:rsidR="009B0E4F" w:rsidRPr="008F74DC" w:rsidRDefault="00F93E83" w:rsidP="009B0E4F">
      <w:pPr>
        <w:spacing w:line="256" w:lineRule="auto"/>
        <w:rPr>
          <w:b/>
          <w:spacing w:val="-46"/>
          <w:w w:val="85"/>
          <w:sz w:val="18"/>
          <w:szCs w:val="18"/>
        </w:rPr>
      </w:pPr>
      <w:r w:rsidRPr="008F74DC">
        <w:rPr>
          <w:b/>
          <w:spacing w:val="-2"/>
          <w:w w:val="85"/>
          <w:sz w:val="18"/>
          <w:szCs w:val="18"/>
        </w:rPr>
        <w:t>Jacqueline</w:t>
      </w:r>
      <w:r w:rsidRPr="008F74DC">
        <w:rPr>
          <w:b/>
          <w:spacing w:val="-1"/>
          <w:w w:val="85"/>
          <w:sz w:val="18"/>
          <w:szCs w:val="18"/>
        </w:rPr>
        <w:t xml:space="preserve"> Pearson</w:t>
      </w:r>
      <w:r w:rsidRPr="008F74DC">
        <w:rPr>
          <w:b/>
          <w:spacing w:val="-46"/>
          <w:w w:val="85"/>
          <w:sz w:val="18"/>
          <w:szCs w:val="18"/>
        </w:rPr>
        <w:t xml:space="preserve"> </w:t>
      </w:r>
    </w:p>
    <w:p w14:paraId="4F88D25E" w14:textId="20236B6C" w:rsidR="00522F52" w:rsidRPr="008F74DC" w:rsidRDefault="00F93E83" w:rsidP="009B0E4F">
      <w:pPr>
        <w:spacing w:line="256" w:lineRule="auto"/>
        <w:rPr>
          <w:b/>
          <w:spacing w:val="1"/>
          <w:sz w:val="18"/>
          <w:szCs w:val="18"/>
        </w:rPr>
      </w:pPr>
      <w:r w:rsidRPr="008F74DC">
        <w:rPr>
          <w:b/>
          <w:sz w:val="18"/>
          <w:szCs w:val="18"/>
        </w:rPr>
        <w:t>Treasurer</w:t>
      </w:r>
      <w:r w:rsidRPr="008F74DC">
        <w:rPr>
          <w:b/>
          <w:spacing w:val="1"/>
          <w:sz w:val="18"/>
          <w:szCs w:val="18"/>
        </w:rPr>
        <w:t xml:space="preserve"> </w:t>
      </w:r>
    </w:p>
    <w:p w14:paraId="7109AEA9" w14:textId="1F018C3D" w:rsidR="00CF6712" w:rsidRDefault="003B0447" w:rsidP="009B0E4F">
      <w:pPr>
        <w:spacing w:line="256" w:lineRule="auto"/>
        <w:rPr>
          <w:b/>
          <w:sz w:val="18"/>
          <w:szCs w:val="18"/>
        </w:rPr>
      </w:pPr>
      <w:r w:rsidRPr="008F74DC">
        <w:rPr>
          <w:b/>
          <w:sz w:val="18"/>
          <w:szCs w:val="18"/>
        </w:rPr>
        <w:t>15/10/</w:t>
      </w:r>
      <w:r w:rsidR="00F93E83" w:rsidRPr="008F74DC">
        <w:rPr>
          <w:b/>
          <w:sz w:val="18"/>
          <w:szCs w:val="18"/>
        </w:rPr>
        <w:t>/20</w:t>
      </w:r>
      <w:r w:rsidR="00334FE7" w:rsidRPr="008F74DC">
        <w:rPr>
          <w:b/>
          <w:sz w:val="18"/>
          <w:szCs w:val="18"/>
        </w:rPr>
        <w:t>2</w:t>
      </w:r>
      <w:r w:rsidRPr="008F74DC">
        <w:rPr>
          <w:b/>
          <w:sz w:val="18"/>
          <w:szCs w:val="18"/>
        </w:rPr>
        <w:t>3</w:t>
      </w:r>
    </w:p>
    <w:p w14:paraId="4DBE8A6C" w14:textId="77777777" w:rsidR="00F62BA3" w:rsidRDefault="00F62BA3" w:rsidP="009B0E4F">
      <w:pPr>
        <w:spacing w:line="256" w:lineRule="auto"/>
        <w:rPr>
          <w:b/>
          <w:sz w:val="18"/>
          <w:szCs w:val="18"/>
        </w:rPr>
      </w:pPr>
    </w:p>
    <w:p w14:paraId="6E859F8F" w14:textId="77777777" w:rsidR="00F62BA3" w:rsidRDefault="00F62BA3" w:rsidP="009B0E4F">
      <w:pPr>
        <w:spacing w:line="256" w:lineRule="auto"/>
        <w:rPr>
          <w:b/>
          <w:sz w:val="18"/>
          <w:szCs w:val="18"/>
        </w:rPr>
      </w:pPr>
    </w:p>
    <w:p w14:paraId="1CE5A894" w14:textId="77777777" w:rsidR="00F62BA3" w:rsidRDefault="00F62BA3" w:rsidP="009B0E4F">
      <w:pPr>
        <w:spacing w:line="256" w:lineRule="auto"/>
        <w:rPr>
          <w:b/>
          <w:sz w:val="18"/>
          <w:szCs w:val="18"/>
        </w:rPr>
      </w:pPr>
    </w:p>
    <w:p w14:paraId="3BEAC564" w14:textId="77777777" w:rsidR="00F62BA3" w:rsidRDefault="00F62BA3" w:rsidP="009B0E4F">
      <w:pPr>
        <w:spacing w:line="256" w:lineRule="auto"/>
        <w:rPr>
          <w:b/>
          <w:sz w:val="18"/>
          <w:szCs w:val="18"/>
        </w:rPr>
      </w:pPr>
    </w:p>
    <w:p w14:paraId="6F1B9567" w14:textId="77777777" w:rsidR="00F62BA3" w:rsidRDefault="00F62BA3" w:rsidP="009B0E4F">
      <w:pPr>
        <w:spacing w:line="256" w:lineRule="auto"/>
        <w:rPr>
          <w:b/>
          <w:sz w:val="18"/>
          <w:szCs w:val="18"/>
        </w:rPr>
      </w:pPr>
    </w:p>
    <w:p w14:paraId="71039C6F" w14:textId="77777777" w:rsidR="00F62BA3" w:rsidRDefault="00F62BA3" w:rsidP="009B0E4F">
      <w:pPr>
        <w:spacing w:line="256" w:lineRule="auto"/>
        <w:rPr>
          <w:b/>
          <w:sz w:val="18"/>
          <w:szCs w:val="18"/>
        </w:rPr>
      </w:pPr>
    </w:p>
    <w:p w14:paraId="25347FE4" w14:textId="0EAEABFB" w:rsidR="00F62BA3" w:rsidRPr="008F74DC" w:rsidRDefault="00F62BA3" w:rsidP="009B0E4F">
      <w:pPr>
        <w:spacing w:line="256" w:lineRule="auto"/>
        <w:rPr>
          <w:b/>
          <w:sz w:val="18"/>
          <w:szCs w:val="18"/>
        </w:rPr>
      </w:pPr>
      <w:r w:rsidRPr="00F62BA3">
        <w:drawing>
          <wp:inline distT="0" distB="0" distL="0" distR="0" wp14:anchorId="149295CC" wp14:editId="58B6A4A0">
            <wp:extent cx="6181725" cy="8162925"/>
            <wp:effectExtent l="0" t="0" r="9525" b="9525"/>
            <wp:docPr id="21304116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4770" cy="8166946"/>
                    </a:xfrm>
                    <a:prstGeom prst="rect">
                      <a:avLst/>
                    </a:prstGeom>
                    <a:noFill/>
                    <a:ln>
                      <a:noFill/>
                    </a:ln>
                  </pic:spPr>
                </pic:pic>
              </a:graphicData>
            </a:graphic>
          </wp:inline>
        </w:drawing>
      </w:r>
    </w:p>
    <w:sectPr w:rsidR="00F62BA3" w:rsidRPr="008F74DC">
      <w:type w:val="continuous"/>
      <w:pgSz w:w="12240" w:h="15840"/>
      <w:pgMar w:top="68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172"/>
    <w:multiLevelType w:val="hybridMultilevel"/>
    <w:tmpl w:val="2DEA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7963E6"/>
    <w:multiLevelType w:val="hybridMultilevel"/>
    <w:tmpl w:val="510A4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9043566">
    <w:abstractNumId w:val="0"/>
  </w:num>
  <w:num w:numId="2" w16cid:durableId="815418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12"/>
    <w:rsid w:val="00165380"/>
    <w:rsid w:val="001A1DC5"/>
    <w:rsid w:val="0024588E"/>
    <w:rsid w:val="00274825"/>
    <w:rsid w:val="002A264A"/>
    <w:rsid w:val="002A4A31"/>
    <w:rsid w:val="00334FE7"/>
    <w:rsid w:val="00364F81"/>
    <w:rsid w:val="003B0447"/>
    <w:rsid w:val="003E28E6"/>
    <w:rsid w:val="00414E39"/>
    <w:rsid w:val="004B2EB8"/>
    <w:rsid w:val="00522F52"/>
    <w:rsid w:val="00594ECF"/>
    <w:rsid w:val="005B3716"/>
    <w:rsid w:val="005D07AA"/>
    <w:rsid w:val="005D61D5"/>
    <w:rsid w:val="00677DB3"/>
    <w:rsid w:val="00723AAA"/>
    <w:rsid w:val="007C00E8"/>
    <w:rsid w:val="00875D91"/>
    <w:rsid w:val="008F0975"/>
    <w:rsid w:val="008F74DC"/>
    <w:rsid w:val="00915F54"/>
    <w:rsid w:val="009B0E4F"/>
    <w:rsid w:val="00AB4BFB"/>
    <w:rsid w:val="00AF14B4"/>
    <w:rsid w:val="00B54542"/>
    <w:rsid w:val="00C52C1E"/>
    <w:rsid w:val="00CF6712"/>
    <w:rsid w:val="00D73F39"/>
    <w:rsid w:val="00D9503C"/>
    <w:rsid w:val="00E11C2D"/>
    <w:rsid w:val="00E4682C"/>
    <w:rsid w:val="00F62BA3"/>
    <w:rsid w:val="00F93E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FF81"/>
  <w15:docId w15:val="{764F7F5C-B706-C444-87DE-68B89EAA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33"/>
      <w:ind w:left="3842" w:right="882" w:hanging="1766"/>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Pearson, Jacqueline</cp:lastModifiedBy>
  <cp:revision>21</cp:revision>
  <cp:lastPrinted>2022-09-30T09:50:00Z</cp:lastPrinted>
  <dcterms:created xsi:type="dcterms:W3CDTF">2023-10-29T17:28:00Z</dcterms:created>
  <dcterms:modified xsi:type="dcterms:W3CDTF">2023-10-29T18:35:00Z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LastSaved">
    <vt:filetime>2021-09-14T00:00:00Z</vt:filetime>
  </property>
</Properties>
</file>