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E92EB" w14:textId="77777777" w:rsidR="00D317E6" w:rsidRDefault="001F3C7B">
      <w:pPr>
        <w:pStyle w:val="Default"/>
        <w:jc w:val="center"/>
        <w:rPr>
          <w:b/>
          <w:bCs/>
          <w:u w:val="single"/>
        </w:rPr>
      </w:pPr>
      <w:r>
        <w:rPr>
          <w:b/>
          <w:bCs/>
          <w:u w:val="single"/>
        </w:rPr>
        <w:t>Treasurers Report - AGM 20</w:t>
      </w:r>
      <w:r w:rsidR="00D22E5A">
        <w:rPr>
          <w:b/>
          <w:bCs/>
          <w:u w:val="single"/>
        </w:rPr>
        <w:t>20</w:t>
      </w:r>
      <w:r>
        <w:rPr>
          <w:b/>
          <w:bCs/>
          <w:u w:val="single"/>
        </w:rPr>
        <w:t xml:space="preserve"> - TESW Region</w:t>
      </w:r>
    </w:p>
    <w:p w14:paraId="48A7088E" w14:textId="77777777" w:rsidR="00DB4231" w:rsidRDefault="00DB4231">
      <w:pPr>
        <w:pStyle w:val="Default"/>
        <w:jc w:val="center"/>
        <w:rPr>
          <w:b/>
          <w:bCs/>
          <w:u w:val="single"/>
        </w:rPr>
      </w:pPr>
    </w:p>
    <w:p w14:paraId="4AFFF87E" w14:textId="77777777" w:rsidR="00376689" w:rsidRDefault="00D22E5A" w:rsidP="00376689">
      <w:pPr>
        <w:pStyle w:val="Default"/>
        <w:ind w:left="180"/>
      </w:pPr>
      <w:r w:rsidRPr="00D22E5A">
        <w:rPr>
          <w:noProof/>
        </w:rPr>
        <w:drawing>
          <wp:inline distT="0" distB="0" distL="0" distR="0" wp14:anchorId="1DB432E6" wp14:editId="25116332">
            <wp:extent cx="4853940" cy="28117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3940" cy="2811780"/>
                    </a:xfrm>
                    <a:prstGeom prst="rect">
                      <a:avLst/>
                    </a:prstGeom>
                    <a:noFill/>
                    <a:ln>
                      <a:noFill/>
                    </a:ln>
                  </pic:spPr>
                </pic:pic>
              </a:graphicData>
            </a:graphic>
          </wp:inline>
        </w:drawing>
      </w:r>
    </w:p>
    <w:p w14:paraId="58ECC97F" w14:textId="77777777" w:rsidR="00376689" w:rsidRDefault="00376689" w:rsidP="00376689">
      <w:pPr>
        <w:pStyle w:val="Default"/>
        <w:ind w:left="180"/>
      </w:pPr>
    </w:p>
    <w:p w14:paraId="0EFAF12B" w14:textId="77777777" w:rsidR="00D317E6" w:rsidRDefault="008E68D1">
      <w:pPr>
        <w:pStyle w:val="Default"/>
        <w:numPr>
          <w:ilvl w:val="0"/>
          <w:numId w:val="2"/>
        </w:numPr>
      </w:pPr>
      <w:r>
        <w:t>Bank b</w:t>
      </w:r>
      <w:r w:rsidR="001F3C7B">
        <w:t xml:space="preserve">alance at </w:t>
      </w:r>
      <w:r w:rsidR="000E75A5">
        <w:t>30</w:t>
      </w:r>
      <w:r w:rsidR="000E75A5" w:rsidRPr="000E75A5">
        <w:rPr>
          <w:vertAlign w:val="superscript"/>
        </w:rPr>
        <w:t>th</w:t>
      </w:r>
      <w:r w:rsidR="000E75A5">
        <w:t xml:space="preserve"> September</w:t>
      </w:r>
      <w:r w:rsidR="001F3C7B">
        <w:t xml:space="preserve"> is £</w:t>
      </w:r>
      <w:r w:rsidR="00D22E5A">
        <w:t>8,077.03</w:t>
      </w:r>
      <w:r w:rsidR="00376689">
        <w:t xml:space="preserve">, </w:t>
      </w:r>
      <w:r w:rsidR="007277BC">
        <w:t>up</w:t>
      </w:r>
      <w:r w:rsidR="00376689">
        <w:t xml:space="preserve"> </w:t>
      </w:r>
      <w:r w:rsidR="001F3C7B">
        <w:t>£</w:t>
      </w:r>
      <w:r w:rsidR="00D22E5A">
        <w:t>1,814.95</w:t>
      </w:r>
      <w:r w:rsidR="001F3C7B">
        <w:t xml:space="preserve"> on </w:t>
      </w:r>
      <w:r>
        <w:t xml:space="preserve">the </w:t>
      </w:r>
      <w:r w:rsidR="001F3C7B">
        <w:t>same time last year</w:t>
      </w:r>
      <w:r w:rsidR="00A0561F">
        <w:t xml:space="preserve">.  </w:t>
      </w:r>
      <w:r w:rsidR="00EB5B39">
        <w:t xml:space="preserve">There </w:t>
      </w:r>
      <w:r w:rsidR="00A06E9D">
        <w:t xml:space="preserve">were </w:t>
      </w:r>
      <w:r w:rsidR="00D22E5A">
        <w:t xml:space="preserve">no </w:t>
      </w:r>
      <w:r w:rsidR="00EB5B39">
        <w:t>outstanding invoice</w:t>
      </w:r>
      <w:r w:rsidR="00A06E9D">
        <w:t>s</w:t>
      </w:r>
      <w:r w:rsidR="00EB5B39">
        <w:t xml:space="preserve"> at 1</w:t>
      </w:r>
      <w:r w:rsidR="00EB5B39" w:rsidRPr="00EB5B39">
        <w:rPr>
          <w:vertAlign w:val="superscript"/>
        </w:rPr>
        <w:t>st</w:t>
      </w:r>
      <w:r w:rsidR="00EB5B39">
        <w:t xml:space="preserve"> October 20</w:t>
      </w:r>
      <w:r w:rsidR="00D22E5A">
        <w:t>20.</w:t>
      </w:r>
    </w:p>
    <w:p w14:paraId="4C02C4E7" w14:textId="77777777" w:rsidR="00D317E6" w:rsidRDefault="00D317E6">
      <w:pPr>
        <w:pStyle w:val="Default"/>
      </w:pPr>
    </w:p>
    <w:p w14:paraId="2148BA4C" w14:textId="77777777" w:rsidR="00D317E6" w:rsidRDefault="007277BC">
      <w:pPr>
        <w:pStyle w:val="Default"/>
        <w:numPr>
          <w:ilvl w:val="0"/>
          <w:numId w:val="2"/>
        </w:numPr>
      </w:pPr>
      <w:r>
        <w:t>There was no breach in year of the Regional Committee policy to maintain a minimum bank balance of £3,000.</w:t>
      </w:r>
    </w:p>
    <w:p w14:paraId="7E1FAA0E" w14:textId="77777777" w:rsidR="00376689" w:rsidRDefault="00376689" w:rsidP="00376689">
      <w:pPr>
        <w:pStyle w:val="ListParagraph"/>
      </w:pPr>
    </w:p>
    <w:p w14:paraId="1FCBE0FC" w14:textId="77777777" w:rsidR="007277BC" w:rsidRDefault="000E75A5">
      <w:pPr>
        <w:pStyle w:val="Default"/>
        <w:numPr>
          <w:ilvl w:val="0"/>
          <w:numId w:val="2"/>
        </w:numPr>
      </w:pPr>
      <w:r>
        <w:t>All</w:t>
      </w:r>
      <w:r w:rsidR="007277BC">
        <w:t xml:space="preserve"> expenditure </w:t>
      </w:r>
      <w:r>
        <w:t>was incurred prior to lockdown in March 2020 and related predominantly to 2019 activities</w:t>
      </w:r>
      <w:r w:rsidR="008E68D1">
        <w:t xml:space="preserve"> (which were</w:t>
      </w:r>
      <w:r>
        <w:t xml:space="preserve"> identified as outstanding invoices in the 2019 AGM report), and support to training technical officials.</w:t>
      </w:r>
    </w:p>
    <w:p w14:paraId="6B82EDCC" w14:textId="77777777" w:rsidR="00F65C03" w:rsidRDefault="00F65C03" w:rsidP="00F65C03">
      <w:pPr>
        <w:pStyle w:val="ListParagraph"/>
      </w:pPr>
    </w:p>
    <w:p w14:paraId="18E9AB8A" w14:textId="77777777" w:rsidR="00F65C03" w:rsidRDefault="00F65C03">
      <w:pPr>
        <w:pStyle w:val="Default"/>
        <w:numPr>
          <w:ilvl w:val="0"/>
          <w:numId w:val="2"/>
        </w:numPr>
      </w:pPr>
      <w:r>
        <w:t>The Regional Committee agreed a budget in January 2020.  This focused on junior development, supporting the recruitment and training of technical officials, and funding trophies and certificates for the regional championships and awards, together with committee and AGM expenses.  In response to Covid-19, however, planned activities</w:t>
      </w:r>
      <w:r w:rsidR="008E68D1">
        <w:t xml:space="preserve"> either</w:t>
      </w:r>
      <w:r>
        <w:t xml:space="preserve"> could not take place or were not appropriate.  The Regional Committee sought to support triathlon in the region where possible, and met via Zoom for which there was no cost.  </w:t>
      </w:r>
    </w:p>
    <w:p w14:paraId="57668D7F" w14:textId="77777777" w:rsidR="00F65C03" w:rsidRDefault="00F65C03" w:rsidP="00F65C03">
      <w:pPr>
        <w:pStyle w:val="ListParagraph"/>
      </w:pPr>
    </w:p>
    <w:p w14:paraId="144F1C1A" w14:textId="77777777" w:rsidR="00F65C03" w:rsidRDefault="00F65C03">
      <w:pPr>
        <w:pStyle w:val="Default"/>
        <w:numPr>
          <w:ilvl w:val="0"/>
          <w:numId w:val="2"/>
        </w:numPr>
      </w:pPr>
      <w:r>
        <w:t>Consequently, the region has spent little in 2020.</w:t>
      </w:r>
    </w:p>
    <w:p w14:paraId="39F5D88E" w14:textId="77777777" w:rsidR="008C4424" w:rsidRDefault="008C4424" w:rsidP="008C4424">
      <w:pPr>
        <w:pStyle w:val="ListParagraph"/>
      </w:pPr>
    </w:p>
    <w:p w14:paraId="27818186" w14:textId="77777777" w:rsidR="008C4424" w:rsidRDefault="008C4424" w:rsidP="008C4424">
      <w:pPr>
        <w:pStyle w:val="Default"/>
        <w:numPr>
          <w:ilvl w:val="0"/>
          <w:numId w:val="2"/>
        </w:numPr>
      </w:pPr>
      <w:r>
        <w:t>It was previously reported that the Committee had the opportunity to bid for the Triathlon England Innovation Fund in 2019.  Separate to this, it was brought to the Committee’s attention in spring 2019 that there were a number of invoices outstanding to Triathlon England from 2017, which existing Committee members had not been aware of.  The position in October 2019 was that to resolve this debt, it was agreed with Triathlon England that the region would withdraw the Innovation Fund application and Triathlon England would cancel the outstanding invoices, writing off the remaining balance of £225.  It transpired that some other regions were in a similar position and it was subsequently agreed by the Triathlon England Council that the old invoices would be written off and the monies due to the regions would be paid.  The South West Region has therefore received outstanding royalties and the Innovation Fund bid, in addition to the annual grants.</w:t>
      </w:r>
    </w:p>
    <w:p w14:paraId="2E52C587" w14:textId="77777777" w:rsidR="008C4424" w:rsidRDefault="008C4424" w:rsidP="008C4424">
      <w:pPr>
        <w:pStyle w:val="Default"/>
        <w:ind w:left="180"/>
      </w:pPr>
    </w:p>
    <w:p w14:paraId="38708956" w14:textId="77777777" w:rsidR="008C4424" w:rsidRDefault="008C4424">
      <w:pPr>
        <w:rPr>
          <w:rFonts w:ascii="Helvetica" w:hAnsi="Helvetica" w:cs="Arial Unicode MS"/>
          <w:color w:val="000000"/>
          <w:sz w:val="22"/>
          <w:szCs w:val="22"/>
          <w:lang w:eastAsia="en-GB"/>
        </w:rPr>
      </w:pPr>
      <w:r>
        <w:br w:type="page"/>
      </w:r>
    </w:p>
    <w:p w14:paraId="5051720C" w14:textId="77777777" w:rsidR="008C4424" w:rsidRPr="00DE73F3" w:rsidRDefault="008C4424" w:rsidP="008C4424">
      <w:pPr>
        <w:pStyle w:val="Default"/>
        <w:rPr>
          <w:b/>
        </w:rPr>
      </w:pPr>
      <w:r w:rsidRPr="00DE73F3">
        <w:rPr>
          <w:b/>
        </w:rPr>
        <w:lastRenderedPageBreak/>
        <w:t>Appendix One: Income and Expenditure 20</w:t>
      </w:r>
      <w:r>
        <w:rPr>
          <w:b/>
        </w:rPr>
        <w:t>20</w:t>
      </w:r>
    </w:p>
    <w:p w14:paraId="5F910CFA" w14:textId="77777777" w:rsidR="008C4424" w:rsidRDefault="008C4424" w:rsidP="008C4424">
      <w:pPr>
        <w:pStyle w:val="Default"/>
        <w:ind w:left="180"/>
      </w:pPr>
    </w:p>
    <w:p w14:paraId="5AABABC2" w14:textId="77777777" w:rsidR="007277BC" w:rsidRDefault="007277BC" w:rsidP="007277BC">
      <w:pPr>
        <w:pStyle w:val="ListParagraph"/>
      </w:pPr>
    </w:p>
    <w:p w14:paraId="06E9229F" w14:textId="77777777" w:rsidR="003564FA" w:rsidRDefault="003564FA" w:rsidP="007277BC">
      <w:pPr>
        <w:pStyle w:val="Default"/>
      </w:pPr>
      <w:r>
        <w:t xml:space="preserve">  </w:t>
      </w:r>
      <w:r w:rsidR="008E68D1" w:rsidRPr="008E68D1">
        <w:rPr>
          <w:noProof/>
        </w:rPr>
        <w:drawing>
          <wp:inline distT="0" distB="0" distL="0" distR="0" wp14:anchorId="27172D23" wp14:editId="3F2B657E">
            <wp:extent cx="3322320" cy="4030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4030980"/>
                    </a:xfrm>
                    <a:prstGeom prst="rect">
                      <a:avLst/>
                    </a:prstGeom>
                    <a:noFill/>
                    <a:ln>
                      <a:noFill/>
                    </a:ln>
                  </pic:spPr>
                </pic:pic>
              </a:graphicData>
            </a:graphic>
          </wp:inline>
        </w:drawing>
      </w:r>
    </w:p>
    <w:p w14:paraId="38E1EBE1" w14:textId="77777777" w:rsidR="00E60B61" w:rsidRDefault="00E60B61" w:rsidP="00E60B61">
      <w:pPr>
        <w:pStyle w:val="Default"/>
        <w:ind w:left="180"/>
      </w:pPr>
    </w:p>
    <w:p w14:paraId="4E22E078" w14:textId="77777777" w:rsidR="00A0561F" w:rsidRDefault="00A0561F" w:rsidP="008C4424">
      <w:pPr>
        <w:pStyle w:val="Default"/>
        <w:ind w:left="180"/>
      </w:pPr>
    </w:p>
    <w:p w14:paraId="2B0A2B3E" w14:textId="77777777" w:rsidR="00A0561F" w:rsidRDefault="00A0561F" w:rsidP="00A0561F">
      <w:pPr>
        <w:pStyle w:val="ListParagraph"/>
      </w:pPr>
    </w:p>
    <w:p w14:paraId="4029C696" w14:textId="77777777" w:rsidR="00DE73F3" w:rsidRPr="008C4424" w:rsidRDefault="00DE73F3" w:rsidP="008C4424">
      <w:pPr>
        <w:rPr>
          <w:rFonts w:ascii="Helvetica" w:hAnsi="Helvetica" w:cs="Arial Unicode MS"/>
          <w:color w:val="000000"/>
          <w:sz w:val="22"/>
          <w:szCs w:val="22"/>
          <w:lang w:eastAsia="en-GB"/>
        </w:rPr>
      </w:pPr>
    </w:p>
    <w:sectPr w:rsidR="00DE73F3" w:rsidRPr="008C4424">
      <w:headerReference w:type="default" r:id="rId9"/>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11730" w14:textId="77777777" w:rsidR="006C1431" w:rsidRDefault="006C1431">
      <w:r>
        <w:separator/>
      </w:r>
    </w:p>
  </w:endnote>
  <w:endnote w:type="continuationSeparator" w:id="0">
    <w:p w14:paraId="213F4B6E" w14:textId="77777777" w:rsidR="006C1431" w:rsidRDefault="006C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A82CB" w14:textId="77777777" w:rsidR="00D317E6" w:rsidRDefault="00D317E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A1F43" w14:textId="77777777" w:rsidR="006C1431" w:rsidRDefault="006C1431">
      <w:r>
        <w:separator/>
      </w:r>
    </w:p>
  </w:footnote>
  <w:footnote w:type="continuationSeparator" w:id="0">
    <w:p w14:paraId="0AAC06B0" w14:textId="77777777" w:rsidR="006C1431" w:rsidRDefault="006C1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F7E78" w14:textId="77777777" w:rsidR="00D317E6" w:rsidRDefault="00D317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C6887"/>
    <w:multiLevelType w:val="hybridMultilevel"/>
    <w:tmpl w:val="B3F087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2E79BC"/>
    <w:multiLevelType w:val="hybridMultilevel"/>
    <w:tmpl w:val="B074EF60"/>
    <w:numStyleLink w:val="Bullet"/>
  </w:abstractNum>
  <w:abstractNum w:abstractNumId="2" w15:restartNumberingAfterBreak="0">
    <w:nsid w:val="61065BB7"/>
    <w:multiLevelType w:val="hybridMultilevel"/>
    <w:tmpl w:val="B074EF60"/>
    <w:styleLink w:val="Bullet"/>
    <w:lvl w:ilvl="0" w:tplc="E8E89D8A">
      <w:start w:val="1"/>
      <w:numFmt w:val="bullet"/>
      <w:lvlText w:val="•"/>
      <w:lvlJc w:val="left"/>
      <w:pPr>
        <w:ind w:left="18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D7C38C4">
      <w:start w:val="1"/>
      <w:numFmt w:val="bullet"/>
      <w:lvlText w:val="•"/>
      <w:lvlJc w:val="left"/>
      <w:pPr>
        <w:ind w:left="36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52CF980">
      <w:start w:val="1"/>
      <w:numFmt w:val="bullet"/>
      <w:lvlText w:val="•"/>
      <w:lvlJc w:val="left"/>
      <w:pPr>
        <w:ind w:left="54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6444214">
      <w:start w:val="1"/>
      <w:numFmt w:val="bullet"/>
      <w:lvlText w:val="•"/>
      <w:lvlJc w:val="left"/>
      <w:pPr>
        <w:ind w:left="72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57A05DE">
      <w:start w:val="1"/>
      <w:numFmt w:val="bullet"/>
      <w:lvlText w:val="•"/>
      <w:lvlJc w:val="left"/>
      <w:pPr>
        <w:ind w:left="90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936AC7C">
      <w:start w:val="1"/>
      <w:numFmt w:val="bullet"/>
      <w:lvlText w:val="•"/>
      <w:lvlJc w:val="left"/>
      <w:pPr>
        <w:ind w:left="108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D6C82BE">
      <w:start w:val="1"/>
      <w:numFmt w:val="bullet"/>
      <w:lvlText w:val="•"/>
      <w:lvlJc w:val="left"/>
      <w:pPr>
        <w:ind w:left="126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49C5384">
      <w:start w:val="1"/>
      <w:numFmt w:val="bullet"/>
      <w:lvlText w:val="•"/>
      <w:lvlJc w:val="left"/>
      <w:pPr>
        <w:ind w:left="144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8E21B4A">
      <w:start w:val="1"/>
      <w:numFmt w:val="bullet"/>
      <w:lvlText w:val="•"/>
      <w:lvlJc w:val="left"/>
      <w:pPr>
        <w:ind w:left="1620" w:hanging="180"/>
      </w:pPr>
      <w:rPr>
        <w:rFonts w:hAnsi="Arial Unicode MS"/>
        <w:b/>
        <w:bCs/>
        <w:caps w:val="0"/>
        <w:smallCaps w:val="0"/>
        <w:strike w:val="0"/>
        <w:dstrike w:val="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7E6"/>
    <w:rsid w:val="0003344E"/>
    <w:rsid w:val="000E75A5"/>
    <w:rsid w:val="001F0A2C"/>
    <w:rsid w:val="001F3C7B"/>
    <w:rsid w:val="003564FA"/>
    <w:rsid w:val="00376689"/>
    <w:rsid w:val="00493181"/>
    <w:rsid w:val="004C7318"/>
    <w:rsid w:val="004D6BE9"/>
    <w:rsid w:val="005E0F70"/>
    <w:rsid w:val="0064092D"/>
    <w:rsid w:val="006C1431"/>
    <w:rsid w:val="006E2763"/>
    <w:rsid w:val="00703083"/>
    <w:rsid w:val="007277BC"/>
    <w:rsid w:val="0075746A"/>
    <w:rsid w:val="007D3438"/>
    <w:rsid w:val="008C4424"/>
    <w:rsid w:val="008E68D1"/>
    <w:rsid w:val="00A0561F"/>
    <w:rsid w:val="00A06E9D"/>
    <w:rsid w:val="00B84013"/>
    <w:rsid w:val="00BE49D4"/>
    <w:rsid w:val="00C131DC"/>
    <w:rsid w:val="00D00E68"/>
    <w:rsid w:val="00D22E5A"/>
    <w:rsid w:val="00D317E6"/>
    <w:rsid w:val="00D7159E"/>
    <w:rsid w:val="00DB4231"/>
    <w:rsid w:val="00DD48A1"/>
    <w:rsid w:val="00DE73F3"/>
    <w:rsid w:val="00E10448"/>
    <w:rsid w:val="00E60B61"/>
    <w:rsid w:val="00EB5B39"/>
    <w:rsid w:val="00EF1AF0"/>
    <w:rsid w:val="00F01B14"/>
    <w:rsid w:val="00F65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7279"/>
  <w15:docId w15:val="{35432389-9851-484C-AD0F-FD860FE2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numbering" w:customStyle="1" w:styleId="Bullet">
    <w:name w:val="Bullet"/>
    <w:pPr>
      <w:numPr>
        <w:numId w:val="1"/>
      </w:numPr>
    </w:pPr>
  </w:style>
  <w:style w:type="paragraph" w:customStyle="1" w:styleId="TableStyle1">
    <w:name w:val="Table Style 1"/>
    <w:rPr>
      <w:rFonts w:ascii="Helvetica" w:eastAsia="Helvetica" w:hAnsi="Helvetica" w:cs="Helvetica"/>
      <w:b/>
      <w:bCs/>
      <w:color w:val="000000"/>
    </w:rPr>
  </w:style>
  <w:style w:type="paragraph" w:customStyle="1" w:styleId="TableStyle2">
    <w:name w:val="Table Style 2"/>
    <w:rPr>
      <w:rFonts w:ascii="Helvetica" w:eastAsia="Helvetica" w:hAnsi="Helvetica" w:cs="Helvetica"/>
      <w:color w:val="000000"/>
    </w:rPr>
  </w:style>
  <w:style w:type="paragraph" w:styleId="ListParagraph">
    <w:name w:val="List Paragraph"/>
    <w:basedOn w:val="Normal"/>
    <w:uiPriority w:val="34"/>
    <w:qFormat/>
    <w:rsid w:val="00376689"/>
    <w:pPr>
      <w:ind w:left="720"/>
      <w:contextualSpacing/>
    </w:pPr>
  </w:style>
  <w:style w:type="paragraph" w:styleId="BalloonText">
    <w:name w:val="Balloon Text"/>
    <w:basedOn w:val="Normal"/>
    <w:link w:val="BalloonTextChar"/>
    <w:uiPriority w:val="99"/>
    <w:semiHidden/>
    <w:unhideWhenUsed/>
    <w:rsid w:val="007277BC"/>
    <w:rPr>
      <w:rFonts w:ascii="Tahoma" w:hAnsi="Tahoma" w:cs="Tahoma"/>
      <w:sz w:val="16"/>
      <w:szCs w:val="16"/>
    </w:rPr>
  </w:style>
  <w:style w:type="character" w:customStyle="1" w:styleId="BalloonTextChar">
    <w:name w:val="Balloon Text Char"/>
    <w:basedOn w:val="DefaultParagraphFont"/>
    <w:link w:val="BalloonText"/>
    <w:uiPriority w:val="99"/>
    <w:semiHidden/>
    <w:rsid w:val="007277B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954918">
      <w:bodyDiv w:val="1"/>
      <w:marLeft w:val="0"/>
      <w:marRight w:val="0"/>
      <w:marTop w:val="0"/>
      <w:marBottom w:val="0"/>
      <w:divBdr>
        <w:top w:val="none" w:sz="0" w:space="0" w:color="auto"/>
        <w:left w:val="none" w:sz="0" w:space="0" w:color="auto"/>
        <w:bottom w:val="none" w:sz="0" w:space="0" w:color="auto"/>
        <w:right w:val="none" w:sz="0" w:space="0" w:color="auto"/>
      </w:divBdr>
    </w:div>
    <w:div w:id="1462573893">
      <w:bodyDiv w:val="1"/>
      <w:marLeft w:val="0"/>
      <w:marRight w:val="0"/>
      <w:marTop w:val="0"/>
      <w:marBottom w:val="0"/>
      <w:divBdr>
        <w:top w:val="none" w:sz="0" w:space="0" w:color="auto"/>
        <w:left w:val="none" w:sz="0" w:space="0" w:color="auto"/>
        <w:bottom w:val="none" w:sz="0" w:space="0" w:color="auto"/>
        <w:right w:val="none" w:sz="0" w:space="0" w:color="auto"/>
      </w:divBdr>
    </w:div>
    <w:div w:id="1758280709">
      <w:bodyDiv w:val="1"/>
      <w:marLeft w:val="0"/>
      <w:marRight w:val="0"/>
      <w:marTop w:val="0"/>
      <w:marBottom w:val="0"/>
      <w:divBdr>
        <w:top w:val="none" w:sz="0" w:space="0" w:color="auto"/>
        <w:left w:val="none" w:sz="0" w:space="0" w:color="auto"/>
        <w:bottom w:val="none" w:sz="0" w:space="0" w:color="auto"/>
        <w:right w:val="none" w:sz="0" w:space="0" w:color="auto"/>
      </w:divBdr>
    </w:div>
    <w:div w:id="195227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Hepworth</dc:creator>
  <cp:lastModifiedBy>Debbie Hill</cp:lastModifiedBy>
  <cp:revision>2</cp:revision>
  <dcterms:created xsi:type="dcterms:W3CDTF">2020-10-02T14:03:00Z</dcterms:created>
  <dcterms:modified xsi:type="dcterms:W3CDTF">2020-10-02T14:03:00Z</dcterms:modified>
</cp:coreProperties>
</file>