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6F44" w14:textId="5C1A190F" w:rsidR="004E56D2" w:rsidRPr="00341C38" w:rsidRDefault="00C12B2A" w:rsidP="00341C38">
      <w:pPr>
        <w:pStyle w:val="Title"/>
      </w:pPr>
      <w:r>
        <w:t>Financial</w:t>
      </w:r>
      <w:r w:rsidR="00057D46" w:rsidRPr="00057D46">
        <w:t xml:space="preserve"> </w:t>
      </w:r>
      <w:r w:rsidR="007728A3">
        <w:t>Report 2022</w:t>
      </w:r>
    </w:p>
    <w:p w14:paraId="5C2C4CA3" w14:textId="70403A33" w:rsidR="003A46D2" w:rsidRDefault="003A46D2" w:rsidP="00341C38"/>
    <w:p w14:paraId="064D3167" w14:textId="77777777" w:rsidR="00C12B2A" w:rsidRPr="00C12B2A" w:rsidRDefault="00C12B2A" w:rsidP="00C12B2A">
      <w:pPr>
        <w:pStyle w:val="Heading2"/>
      </w:pPr>
      <w:r w:rsidRPr="00C12B2A">
        <w:t>Overview</w:t>
      </w:r>
    </w:p>
    <w:p w14:paraId="5881D9B9" w14:textId="577CB588" w:rsidR="00C12B2A" w:rsidRDefault="00C12B2A" w:rsidP="00C12B2A">
      <w:r w:rsidRPr="00C12B2A">
        <w:t xml:space="preserve">Another relatively quiet year for the region </w:t>
      </w:r>
      <w:r w:rsidR="00F978C5" w:rsidRPr="00C12B2A">
        <w:t>because of</w:t>
      </w:r>
      <w:r w:rsidRPr="00C12B2A">
        <w:t xml:space="preserve"> COVID having changed activity levels and engagement. The region remains in robust financial health </w:t>
      </w:r>
      <w:r w:rsidR="00F978C5" w:rsidRPr="00C12B2A">
        <w:t>because of</w:t>
      </w:r>
      <w:r w:rsidRPr="00C12B2A">
        <w:t xml:space="preserve"> prudent financial behaviour in the past. </w:t>
      </w:r>
    </w:p>
    <w:p w14:paraId="5A6CE208" w14:textId="667019D3" w:rsidR="00C12B2A" w:rsidRPr="00C12B2A" w:rsidRDefault="00C12B2A" w:rsidP="00C12B2A">
      <w:r w:rsidRPr="00C12B2A">
        <w:t>Looking forward the FY</w:t>
      </w:r>
      <w:r w:rsidR="00F978C5">
        <w:t>20</w:t>
      </w:r>
      <w:r w:rsidRPr="00C12B2A">
        <w:t>22-23 will have additional spend to tie into the Birmingham 2022 Commonwealth Games, but broadly the region is well positioned to support the needs and interests of clubs.</w:t>
      </w:r>
    </w:p>
    <w:p w14:paraId="1E282DCA" w14:textId="25178DB2" w:rsidR="00C12B2A" w:rsidRDefault="00C12B2A" w:rsidP="00C12B2A">
      <w:pPr>
        <w:pStyle w:val="Heading2"/>
      </w:pPr>
    </w:p>
    <w:tbl>
      <w:tblPr>
        <w:tblStyle w:val="TableGrid"/>
        <w:tblW w:w="3823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1814"/>
        <w:gridCol w:w="449"/>
        <w:gridCol w:w="1560"/>
      </w:tblGrid>
      <w:tr w:rsidR="00136954" w:rsidRPr="00C12B2A" w14:paraId="6F7A0377" w14:textId="77777777" w:rsidTr="00136954">
        <w:trPr>
          <w:trHeight w:val="448"/>
        </w:trPr>
        <w:tc>
          <w:tcPr>
            <w:tcW w:w="38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1A213D" w14:textId="4521F6E6" w:rsidR="00136954" w:rsidRPr="00C12B2A" w:rsidRDefault="00136954" w:rsidP="00136954">
            <w:r w:rsidRPr="00C12B2A">
              <w:rPr>
                <w:color w:val="00247D"/>
                <w:sz w:val="24"/>
              </w:rPr>
              <w:t>Account Balance</w:t>
            </w:r>
          </w:p>
        </w:tc>
      </w:tr>
      <w:tr w:rsidR="00136954" w:rsidRPr="00C12B2A" w14:paraId="2D024010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06C51988" w14:textId="79C4204D" w:rsidR="00136954" w:rsidRDefault="00136954" w:rsidP="00136954">
            <w:pPr>
              <w:pStyle w:val="Heading3"/>
              <w:outlineLvl w:val="2"/>
            </w:pPr>
            <w:r>
              <w:t>Closing balance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52711A4C" w14:textId="74181D49" w:rsidR="00136954" w:rsidRDefault="00136954" w:rsidP="00136954">
            <w:pPr>
              <w:jc w:val="right"/>
            </w:pPr>
            <w:r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80AAFAC" w14:textId="5C286856" w:rsidR="00136954" w:rsidRPr="00C12B2A" w:rsidRDefault="00136954" w:rsidP="00136954">
            <w:pPr>
              <w:jc w:val="right"/>
            </w:pPr>
            <w:r w:rsidRPr="00C12B2A">
              <w:t>50</w:t>
            </w:r>
            <w:r>
              <w:t>,</w:t>
            </w:r>
            <w:r w:rsidRPr="00C12B2A">
              <w:t>729.59</w:t>
            </w:r>
          </w:p>
        </w:tc>
      </w:tr>
      <w:tr w:rsidR="00136954" w:rsidRPr="00C12B2A" w14:paraId="25596963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36E3D20F" w14:textId="39EC5853" w:rsidR="00136954" w:rsidRPr="00136954" w:rsidRDefault="00136954" w:rsidP="00136954">
            <w:pPr>
              <w:pStyle w:val="Heading3"/>
              <w:outlineLvl w:val="2"/>
            </w:pPr>
            <w:r w:rsidRPr="00136954">
              <w:t>Opening balance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6699692E" w14:textId="5E9CCA50" w:rsidR="00136954" w:rsidRPr="00C12B2A" w:rsidRDefault="00136954" w:rsidP="00136954">
            <w:pPr>
              <w:jc w:val="right"/>
            </w:pPr>
            <w:r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CFE5D98" w14:textId="668743B1" w:rsidR="00136954" w:rsidRPr="00C12B2A" w:rsidRDefault="00136954" w:rsidP="00136954">
            <w:pPr>
              <w:jc w:val="right"/>
            </w:pPr>
            <w:r w:rsidRPr="00C12B2A">
              <w:t>52</w:t>
            </w:r>
            <w:r>
              <w:t>,</w:t>
            </w:r>
            <w:r w:rsidRPr="00C12B2A">
              <w:t>307.18</w:t>
            </w:r>
          </w:p>
        </w:tc>
      </w:tr>
      <w:tr w:rsidR="00136954" w:rsidRPr="00C12B2A" w14:paraId="6C763411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722CB448" w14:textId="65673B9E" w:rsidR="00136954" w:rsidRPr="00C12B2A" w:rsidRDefault="00136954" w:rsidP="00136954">
            <w:pPr>
              <w:pStyle w:val="Heading3"/>
              <w:outlineLvl w:val="2"/>
            </w:pPr>
            <w:r>
              <w:t>Net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6DC39866" w14:textId="400A4C03" w:rsidR="00136954" w:rsidRPr="00004CCE" w:rsidRDefault="00136954" w:rsidP="00136954">
            <w:pPr>
              <w:jc w:val="right"/>
            </w:pPr>
            <w:r w:rsidRPr="00004CCE"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80D2CA3" w14:textId="162D7C8C" w:rsidR="00136954" w:rsidRPr="00004CCE" w:rsidRDefault="00136954" w:rsidP="00136954">
            <w:pPr>
              <w:jc w:val="right"/>
            </w:pPr>
            <w:r w:rsidRPr="00004CCE">
              <w:t>(</w:t>
            </w:r>
            <w:r w:rsidRPr="00004CCE">
              <w:t>1,577.59)</w:t>
            </w:r>
          </w:p>
        </w:tc>
      </w:tr>
    </w:tbl>
    <w:p w14:paraId="197F6FC9" w14:textId="269CC597" w:rsidR="00C12B2A" w:rsidRDefault="00C12B2A" w:rsidP="00C12B2A"/>
    <w:tbl>
      <w:tblPr>
        <w:tblStyle w:val="TableGrid"/>
        <w:tblW w:w="9067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362"/>
        <w:gridCol w:w="321"/>
        <w:gridCol w:w="1692"/>
        <w:gridCol w:w="282"/>
        <w:gridCol w:w="2399"/>
        <w:gridCol w:w="321"/>
        <w:gridCol w:w="1690"/>
      </w:tblGrid>
      <w:tr w:rsidR="00136954" w:rsidRPr="00C12B2A" w14:paraId="0F1E2962" w14:textId="77777777" w:rsidTr="00136954">
        <w:trPr>
          <w:trHeight w:val="448"/>
        </w:trPr>
        <w:tc>
          <w:tcPr>
            <w:tcW w:w="2362" w:type="dxa"/>
            <w:tcBorders>
              <w:top w:val="nil"/>
              <w:left w:val="nil"/>
              <w:right w:val="nil"/>
            </w:tcBorders>
            <w:vAlign w:val="center"/>
          </w:tcPr>
          <w:p w14:paraId="3C99B487" w14:textId="5433BEC5" w:rsidR="00136954" w:rsidRPr="00136954" w:rsidRDefault="00136954" w:rsidP="00136954">
            <w:pPr>
              <w:pStyle w:val="Heading2"/>
            </w:pPr>
            <w:r w:rsidRPr="00C12B2A">
              <w:t>A</w:t>
            </w:r>
            <w:r>
              <w:t>dmin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6FAF7AFA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vAlign w:val="center"/>
          </w:tcPr>
          <w:p w14:paraId="3A0DC427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E568" w14:textId="77777777" w:rsidR="00136954" w:rsidRPr="00136954" w:rsidRDefault="00136954" w:rsidP="00136954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vAlign w:val="center"/>
          </w:tcPr>
          <w:p w14:paraId="31AFAD6F" w14:textId="3F9C95F1" w:rsidR="00136954" w:rsidRPr="00136954" w:rsidRDefault="003F2CCE" w:rsidP="003F2CCE">
            <w:pPr>
              <w:pStyle w:val="Heading2"/>
              <w:rPr>
                <w:szCs w:val="24"/>
              </w:rPr>
            </w:pPr>
            <w:r w:rsidRPr="00C12B2A">
              <w:t>Regional Kit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3B9D4F52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vAlign w:val="center"/>
          </w:tcPr>
          <w:p w14:paraId="1CF8C805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</w:tr>
      <w:tr w:rsidR="003F2CCE" w:rsidRPr="00C12B2A" w14:paraId="55E43831" w14:textId="15F34907" w:rsidTr="003F2CCE">
        <w:trPr>
          <w:trHeight w:val="448"/>
        </w:trPr>
        <w:tc>
          <w:tcPr>
            <w:tcW w:w="2362" w:type="dxa"/>
            <w:vAlign w:val="center"/>
          </w:tcPr>
          <w:p w14:paraId="361DB4C5" w14:textId="221AE376" w:rsidR="003F2CCE" w:rsidRPr="00136954" w:rsidRDefault="003F2CCE" w:rsidP="003F2CCE">
            <w:pPr>
              <w:pStyle w:val="Heading3"/>
              <w:outlineLvl w:val="2"/>
            </w:pPr>
            <w:r w:rsidRPr="00136954">
              <w:t>Grant Income from NGB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2CACCC8C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C2FEEAC" w14:textId="0DA273B0" w:rsidR="003F2CCE" w:rsidRPr="00136954" w:rsidRDefault="003F2CCE" w:rsidP="003F2CCE">
            <w:pPr>
              <w:jc w:val="right"/>
            </w:pPr>
            <w:r w:rsidRPr="00CC396B">
              <w:t>700.00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23345B62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3145526F" w14:textId="303AF3CA" w:rsidR="003F2CCE" w:rsidRPr="00136954" w:rsidRDefault="003F2CCE" w:rsidP="003F2CCE">
            <w:pPr>
              <w:pStyle w:val="Heading3"/>
            </w:pPr>
            <w:r w:rsidRPr="00110D5B">
              <w:t>Kit Stock Purchase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4B782B57" w14:textId="006F12E9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C23793A" w14:textId="2B2DA21D" w:rsidR="003F2CCE" w:rsidRPr="00136954" w:rsidRDefault="003F2CCE" w:rsidP="003F2CCE">
            <w:pPr>
              <w:jc w:val="right"/>
            </w:pPr>
            <w:r w:rsidRPr="001A19AB">
              <w:t>(4</w:t>
            </w:r>
            <w:r>
              <w:t>,</w:t>
            </w:r>
            <w:r w:rsidRPr="001A19AB">
              <w:t>165.57)</w:t>
            </w:r>
          </w:p>
        </w:tc>
      </w:tr>
      <w:tr w:rsidR="003F2CCE" w:rsidRPr="00C12B2A" w14:paraId="77AE8072" w14:textId="57EE90FE" w:rsidTr="003F2CCE">
        <w:trPr>
          <w:trHeight w:val="448"/>
        </w:trPr>
        <w:tc>
          <w:tcPr>
            <w:tcW w:w="2362" w:type="dxa"/>
            <w:vAlign w:val="center"/>
          </w:tcPr>
          <w:p w14:paraId="2F4C8572" w14:textId="7562D6A3" w:rsidR="003F2CCE" w:rsidRPr="00C12B2A" w:rsidRDefault="003F2CCE" w:rsidP="003F2CCE">
            <w:pPr>
              <w:pStyle w:val="Heading3"/>
              <w:outlineLvl w:val="2"/>
            </w:pPr>
            <w:r w:rsidRPr="00D76627">
              <w:t>Committee Admin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25A8317F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407F88C3" w14:textId="06DF8661" w:rsidR="003F2CCE" w:rsidRPr="00136954" w:rsidRDefault="003F2CCE" w:rsidP="003F2CCE">
            <w:pPr>
              <w:jc w:val="right"/>
            </w:pPr>
            <w:r w:rsidRPr="00CC396B">
              <w:t>15.30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3607AF0A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763D41D4" w14:textId="11B8D97F" w:rsidR="003F2CCE" w:rsidRPr="00136954" w:rsidRDefault="003F2CCE" w:rsidP="003F2CCE">
            <w:pPr>
              <w:pStyle w:val="Heading3"/>
            </w:pPr>
            <w:r w:rsidRPr="00110D5B">
              <w:t>Kit Athlete Sales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27134EE3" w14:textId="3DFA326F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2AC63175" w14:textId="72C47596" w:rsidR="003F2CCE" w:rsidRPr="00136954" w:rsidRDefault="003F2CCE" w:rsidP="003F2CCE">
            <w:pPr>
              <w:jc w:val="right"/>
            </w:pPr>
            <w:r w:rsidRPr="001A19AB">
              <w:t>2</w:t>
            </w:r>
            <w:r>
              <w:t>,</w:t>
            </w:r>
            <w:r w:rsidRPr="001A19AB">
              <w:t>738.50</w:t>
            </w:r>
          </w:p>
        </w:tc>
      </w:tr>
      <w:tr w:rsidR="003F2CCE" w:rsidRPr="00C12B2A" w14:paraId="728C89EC" w14:textId="10642AED" w:rsidTr="003F2CCE">
        <w:trPr>
          <w:trHeight w:val="448"/>
        </w:trPr>
        <w:tc>
          <w:tcPr>
            <w:tcW w:w="2362" w:type="dxa"/>
            <w:vAlign w:val="center"/>
          </w:tcPr>
          <w:p w14:paraId="7C828CEC" w14:textId="526FFA22" w:rsidR="003F2CCE" w:rsidRPr="00C12B2A" w:rsidRDefault="003F2CCE" w:rsidP="003F2CCE">
            <w:pPr>
              <w:pStyle w:val="Heading3"/>
              <w:outlineLvl w:val="2"/>
            </w:pPr>
            <w:r w:rsidRPr="00D76627">
              <w:t>Regional Awards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37652F26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3FCE908F" w14:textId="0DFB9067" w:rsidR="003F2CCE" w:rsidRPr="00136954" w:rsidRDefault="003F2CCE" w:rsidP="003F2CCE">
            <w:pPr>
              <w:jc w:val="right"/>
            </w:pPr>
            <w:r>
              <w:t>(</w:t>
            </w:r>
            <w:r w:rsidRPr="00CC396B">
              <w:t>484.24</w:t>
            </w:r>
            <w: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3A61E8A5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6DCF7C45" w14:textId="75E9DB83" w:rsidR="003F2CCE" w:rsidRPr="00136954" w:rsidRDefault="003F2CCE" w:rsidP="003F2CCE">
            <w:pPr>
              <w:pStyle w:val="Heading3"/>
            </w:pPr>
            <w:r w:rsidRPr="00110D5B">
              <w:t xml:space="preserve">Net In-year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4BDF496B" w14:textId="13A81056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0106C81" w14:textId="74966C2D" w:rsidR="003F2CCE" w:rsidRPr="00136954" w:rsidRDefault="003F2CCE" w:rsidP="003F2CCE">
            <w:pPr>
              <w:jc w:val="right"/>
            </w:pPr>
            <w:r w:rsidRPr="001A19AB">
              <w:t>(</w:t>
            </w:r>
            <w:r>
              <w:t>1,</w:t>
            </w:r>
            <w:r w:rsidRPr="001A19AB">
              <w:t>427.07)</w:t>
            </w:r>
          </w:p>
        </w:tc>
      </w:tr>
    </w:tbl>
    <w:p w14:paraId="6755082C" w14:textId="7706B850" w:rsidR="00004CCE" w:rsidRDefault="00004CCE" w:rsidP="00C12B2A"/>
    <w:tbl>
      <w:tblPr>
        <w:tblStyle w:val="TableGrid"/>
        <w:tblW w:w="9067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362"/>
        <w:gridCol w:w="321"/>
        <w:gridCol w:w="1692"/>
        <w:gridCol w:w="282"/>
        <w:gridCol w:w="2399"/>
        <w:gridCol w:w="321"/>
        <w:gridCol w:w="1690"/>
      </w:tblGrid>
      <w:tr w:rsidR="003F2CCE" w:rsidRPr="00C12B2A" w14:paraId="16165DBF" w14:textId="77777777" w:rsidTr="00017AED">
        <w:trPr>
          <w:trHeight w:val="448"/>
        </w:trPr>
        <w:tc>
          <w:tcPr>
            <w:tcW w:w="2362" w:type="dxa"/>
            <w:tcBorders>
              <w:top w:val="nil"/>
              <w:left w:val="nil"/>
              <w:right w:val="nil"/>
            </w:tcBorders>
            <w:vAlign w:val="center"/>
          </w:tcPr>
          <w:p w14:paraId="57FA645A" w14:textId="646E23CA" w:rsidR="003F2CCE" w:rsidRPr="00136954" w:rsidRDefault="003F2CCE" w:rsidP="00017AED">
            <w:pPr>
              <w:pStyle w:val="Heading2"/>
            </w:pPr>
            <w:r w:rsidRPr="003F2CCE">
              <w:t>Regional Training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3BE8B925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vAlign w:val="center"/>
          </w:tcPr>
          <w:p w14:paraId="6A13A238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401F" w14:textId="77777777" w:rsidR="003F2CCE" w:rsidRPr="00136954" w:rsidRDefault="003F2CCE" w:rsidP="00017AED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vAlign w:val="center"/>
          </w:tcPr>
          <w:p w14:paraId="44FFAFD1" w14:textId="351D9814" w:rsidR="003F2CCE" w:rsidRPr="00136954" w:rsidRDefault="003F2CCE" w:rsidP="00017AED">
            <w:pPr>
              <w:pStyle w:val="Heading2"/>
              <w:rPr>
                <w:szCs w:val="24"/>
              </w:rPr>
            </w:pPr>
            <w:r w:rsidRPr="003F2CCE">
              <w:t>Bursaries</w:t>
            </w:r>
            <w:r w:rsidRPr="003F2CCE">
              <w:tab/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2008B480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vAlign w:val="center"/>
          </w:tcPr>
          <w:p w14:paraId="09016899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</w:tr>
      <w:tr w:rsidR="003F2CCE" w:rsidRPr="00C12B2A" w14:paraId="43FF7946" w14:textId="77777777" w:rsidTr="003F2CCE">
        <w:trPr>
          <w:trHeight w:val="448"/>
        </w:trPr>
        <w:tc>
          <w:tcPr>
            <w:tcW w:w="2362" w:type="dxa"/>
            <w:vAlign w:val="center"/>
          </w:tcPr>
          <w:p w14:paraId="731729A5" w14:textId="6BF599A2" w:rsidR="003F2CCE" w:rsidRPr="00136954" w:rsidRDefault="003F2CCE" w:rsidP="003F2CCE">
            <w:pPr>
              <w:pStyle w:val="Heading3"/>
              <w:outlineLvl w:val="2"/>
            </w:pPr>
            <w:r w:rsidRPr="00696C0C">
              <w:t>Venue Hire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5AA5A729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00AB26D" w14:textId="0FDC1EA1" w:rsidR="003F2CCE" w:rsidRPr="00136954" w:rsidRDefault="003F2CCE" w:rsidP="003F2CCE">
            <w:pPr>
              <w:jc w:val="right"/>
            </w:pPr>
            <w:r w:rsidRPr="0052301B">
              <w:t>(237.98)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556BD3F7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24AF98CD" w14:textId="5FC711CD" w:rsidR="003F2CCE" w:rsidRPr="00136954" w:rsidRDefault="003F2CCE" w:rsidP="003F2CCE">
            <w:pPr>
              <w:pStyle w:val="Heading3"/>
            </w:pPr>
            <w:r w:rsidRPr="00F90396">
              <w:t>Safeguarding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F85C3CA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49B51BFC" w14:textId="2DD4BFC3" w:rsidR="003F2CCE" w:rsidRPr="00136954" w:rsidRDefault="003F2CCE" w:rsidP="003F2CCE">
            <w:pPr>
              <w:jc w:val="right"/>
            </w:pPr>
            <w:r w:rsidRPr="007C02E7">
              <w:t>£270.00)</w:t>
            </w:r>
          </w:p>
        </w:tc>
      </w:tr>
      <w:tr w:rsidR="003F2CCE" w:rsidRPr="00C12B2A" w14:paraId="3EF6DBEA" w14:textId="77777777" w:rsidTr="003F2CCE">
        <w:trPr>
          <w:trHeight w:val="448"/>
        </w:trPr>
        <w:tc>
          <w:tcPr>
            <w:tcW w:w="2362" w:type="dxa"/>
            <w:vAlign w:val="center"/>
          </w:tcPr>
          <w:p w14:paraId="3ADC4D65" w14:textId="389B28B3" w:rsidR="003F2CCE" w:rsidRPr="00C12B2A" w:rsidRDefault="003F2CCE" w:rsidP="003F2CCE">
            <w:pPr>
              <w:pStyle w:val="Heading3"/>
              <w:outlineLvl w:val="2"/>
            </w:pPr>
            <w:r w:rsidRPr="00696C0C">
              <w:t>Revenue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3091E2CD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67B69468" w14:textId="0A8FB7F2" w:rsidR="003F2CCE" w:rsidRPr="00136954" w:rsidRDefault="003F2CCE" w:rsidP="003F2CCE">
            <w:pPr>
              <w:jc w:val="right"/>
            </w:pPr>
            <w:r w:rsidRPr="0052301B">
              <w:t>357.00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626853FD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576AF490" w14:textId="4B7DB137" w:rsidR="003F2CCE" w:rsidRPr="00136954" w:rsidRDefault="003F2CCE" w:rsidP="003F2CCE">
            <w:pPr>
              <w:pStyle w:val="Heading3"/>
            </w:pPr>
            <w:r w:rsidRPr="00F90396">
              <w:t>Officials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3D35287B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3B5ECD4D" w14:textId="55CD5FF3" w:rsidR="003F2CCE" w:rsidRPr="00136954" w:rsidRDefault="003F2CCE" w:rsidP="003F2CCE">
            <w:pPr>
              <w:jc w:val="right"/>
            </w:pPr>
            <w:r w:rsidRPr="007C02E7">
              <w:t>(230.00)</w:t>
            </w:r>
          </w:p>
        </w:tc>
      </w:tr>
      <w:tr w:rsidR="003F2CCE" w:rsidRPr="00C12B2A" w14:paraId="21933D89" w14:textId="77777777" w:rsidTr="003F2CCE">
        <w:trPr>
          <w:trHeight w:val="448"/>
        </w:trPr>
        <w:tc>
          <w:tcPr>
            <w:tcW w:w="2362" w:type="dxa"/>
            <w:tcBorders>
              <w:bottom w:val="single" w:sz="4" w:space="0" w:color="C8102E"/>
            </w:tcBorders>
            <w:vAlign w:val="center"/>
          </w:tcPr>
          <w:p w14:paraId="1F5F6ACA" w14:textId="30CDAD97" w:rsidR="003F2CCE" w:rsidRPr="00C12B2A" w:rsidRDefault="003F2CCE" w:rsidP="003F2CCE">
            <w:pPr>
              <w:pStyle w:val="Heading3"/>
              <w:outlineLvl w:val="2"/>
            </w:pPr>
            <w:r w:rsidRPr="00696C0C">
              <w:t>Net Cost</w:t>
            </w:r>
          </w:p>
        </w:tc>
        <w:tc>
          <w:tcPr>
            <w:tcW w:w="321" w:type="dxa"/>
            <w:tcBorders>
              <w:bottom w:val="single" w:sz="4" w:space="0" w:color="C8102E"/>
              <w:right w:val="nil"/>
            </w:tcBorders>
            <w:vAlign w:val="center"/>
          </w:tcPr>
          <w:p w14:paraId="2A908580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  <w:bottom w:val="single" w:sz="4" w:space="0" w:color="C8102E"/>
            </w:tcBorders>
            <w:vAlign w:val="center"/>
          </w:tcPr>
          <w:p w14:paraId="055E493C" w14:textId="46906DE5" w:rsidR="003F2CCE" w:rsidRPr="00136954" w:rsidRDefault="003F2CCE" w:rsidP="003F2CCE">
            <w:pPr>
              <w:jc w:val="right"/>
            </w:pPr>
            <w:r w:rsidRPr="0052301B">
              <w:t>119.02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0D2C2C16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72A3FEB0" w14:textId="36D878B7" w:rsidR="003F2CCE" w:rsidRPr="00136954" w:rsidRDefault="003F2CCE" w:rsidP="003F2CCE">
            <w:pPr>
              <w:pStyle w:val="Heading3"/>
            </w:pPr>
            <w:r w:rsidRPr="00F90396">
              <w:t>Coach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186E96B5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65985F77" w14:textId="42E6CB63" w:rsidR="003F2CCE" w:rsidRPr="00136954" w:rsidRDefault="003F2CCE" w:rsidP="003F2CCE">
            <w:pPr>
              <w:jc w:val="right"/>
            </w:pPr>
            <w:r w:rsidRPr="007C02E7">
              <w:t>(595.00)</w:t>
            </w:r>
          </w:p>
        </w:tc>
      </w:tr>
      <w:tr w:rsidR="003F2CCE" w:rsidRPr="00C12B2A" w14:paraId="49682D59" w14:textId="77777777" w:rsidTr="003F2CCE">
        <w:trPr>
          <w:trHeight w:val="448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vAlign w:val="center"/>
          </w:tcPr>
          <w:p w14:paraId="465BD3A1" w14:textId="77777777" w:rsidR="003F2CCE" w:rsidRPr="00696C0C" w:rsidRDefault="003F2CCE" w:rsidP="003F2CCE">
            <w:pPr>
              <w:pStyle w:val="Heading3"/>
              <w:outlineLvl w:val="2"/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vAlign w:val="center"/>
          </w:tcPr>
          <w:p w14:paraId="4BD299AF" w14:textId="77777777" w:rsidR="003F2CCE" w:rsidRPr="00136954" w:rsidRDefault="003F2CCE" w:rsidP="003F2CCE"/>
        </w:tc>
        <w:tc>
          <w:tcPr>
            <w:tcW w:w="1692" w:type="dxa"/>
            <w:tcBorders>
              <w:left w:val="nil"/>
              <w:bottom w:val="nil"/>
              <w:right w:val="nil"/>
            </w:tcBorders>
            <w:vAlign w:val="center"/>
          </w:tcPr>
          <w:p w14:paraId="695EB260" w14:textId="77777777" w:rsidR="003F2CCE" w:rsidRPr="0052301B" w:rsidRDefault="003F2CCE" w:rsidP="003F2CCE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70EE0AFA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77280D8E" w14:textId="299BE045" w:rsidR="003F2CCE" w:rsidRPr="00136954" w:rsidRDefault="003F2CCE" w:rsidP="003F2CCE">
            <w:pPr>
              <w:pStyle w:val="Heading3"/>
            </w:pPr>
            <w:r w:rsidRPr="00F90396">
              <w:t>Total Bursaries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569D00CA" w14:textId="1BD685EA" w:rsidR="003F2CCE" w:rsidRPr="00136954" w:rsidRDefault="003F2CCE" w:rsidP="003F2CCE">
            <w:r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60341721" w14:textId="71179D32" w:rsidR="003F2CCE" w:rsidRPr="00136954" w:rsidRDefault="003F2CCE" w:rsidP="003F2CCE">
            <w:pPr>
              <w:jc w:val="right"/>
            </w:pPr>
            <w:r w:rsidRPr="007C02E7">
              <w:t>(1</w:t>
            </w:r>
            <w:r>
              <w:t>,</w:t>
            </w:r>
            <w:r w:rsidRPr="007C02E7">
              <w:t>095.00)</w:t>
            </w:r>
          </w:p>
        </w:tc>
      </w:tr>
    </w:tbl>
    <w:p w14:paraId="7B856B04" w14:textId="77777777" w:rsidR="005246D4" w:rsidRDefault="005246D4" w:rsidP="00057D46">
      <w:pPr>
        <w:keepLines w:val="0"/>
        <w:spacing w:after="0"/>
      </w:pPr>
    </w:p>
    <w:p w14:paraId="42DA8A3B" w14:textId="77777777" w:rsidR="005246D4" w:rsidRDefault="005246D4" w:rsidP="00057D46">
      <w:pPr>
        <w:keepLines w:val="0"/>
        <w:spacing w:after="0"/>
      </w:pPr>
    </w:p>
    <w:p w14:paraId="7A3423B7" w14:textId="43A2FFBF" w:rsidR="00EB6559" w:rsidRDefault="003F2CCE" w:rsidP="00057D46">
      <w:pPr>
        <w:keepLines w:val="0"/>
        <w:spacing w:after="0"/>
      </w:pPr>
      <w:r>
        <w:t>Simon White</w:t>
      </w:r>
    </w:p>
    <w:p w14:paraId="6FDA24BD" w14:textId="6FD2379F" w:rsidR="00EB6559" w:rsidRDefault="00F978C5" w:rsidP="00EB6559">
      <w:pPr>
        <w:keepLines w:val="0"/>
        <w:spacing w:after="0"/>
      </w:pPr>
      <w:r>
        <w:t>Treasurer</w:t>
      </w:r>
      <w:r w:rsidR="005E3B04">
        <w:t>,</w:t>
      </w:r>
      <w:r w:rsidR="00EB6559">
        <w:t xml:space="preserve"> Triathlon England West Midlands Committee </w:t>
      </w:r>
    </w:p>
    <w:p w14:paraId="0D24BF99" w14:textId="1D1548AB" w:rsidR="00EB6559" w:rsidRDefault="00EB6559" w:rsidP="00DD7663">
      <w:pPr>
        <w:keepLines w:val="0"/>
        <w:spacing w:line="259" w:lineRule="auto"/>
        <w:sectPr w:rsidR="00EB6559" w:rsidSect="00EB6559">
          <w:headerReference w:type="default" r:id="rId11"/>
          <w:footerReference w:type="default" r:id="rId12"/>
          <w:type w:val="continuous"/>
          <w:pgSz w:w="11906" w:h="16838" w:code="9"/>
          <w:pgMar w:top="1985" w:right="1077" w:bottom="1440" w:left="1080" w:header="709" w:footer="266" w:gutter="0"/>
          <w:cols w:space="708"/>
          <w:docGrid w:linePitch="360"/>
        </w:sectPr>
      </w:pPr>
    </w:p>
    <w:p w14:paraId="1CD2720A" w14:textId="77777777" w:rsidR="00DD7663" w:rsidRPr="00DD7663" w:rsidRDefault="00DD7663" w:rsidP="00DD7663">
      <w:pPr>
        <w:jc w:val="center"/>
      </w:pPr>
    </w:p>
    <w:sectPr w:rsidR="00DD7663" w:rsidRPr="00DD7663" w:rsidSect="00EB6559">
      <w:headerReference w:type="default" r:id="rId13"/>
      <w:type w:val="continuous"/>
      <w:pgSz w:w="11906" w:h="16838" w:code="9"/>
      <w:pgMar w:top="1103" w:right="1077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ED00" w14:textId="77777777" w:rsidR="00D716FF" w:rsidRDefault="00D716FF" w:rsidP="002B0080">
      <w:pPr>
        <w:spacing w:after="0"/>
      </w:pPr>
      <w:r>
        <w:separator/>
      </w:r>
    </w:p>
  </w:endnote>
  <w:endnote w:type="continuationSeparator" w:id="0">
    <w:p w14:paraId="04E8DAE5" w14:textId="77777777" w:rsidR="00D716FF" w:rsidRDefault="00D716FF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Borders>
        <w:top w:val="single" w:sz="12" w:space="0" w:color="0024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7"/>
      <w:gridCol w:w="3259"/>
    </w:tblGrid>
    <w:tr w:rsidR="00126500" w:rsidRPr="002B0080" w14:paraId="6276A81D" w14:textId="77777777" w:rsidTr="00126500">
      <w:tc>
        <w:tcPr>
          <w:tcW w:w="6517" w:type="dxa"/>
        </w:tcPr>
        <w:p w14:paraId="22CF3E9A" w14:textId="6EB4C83B" w:rsidR="00126500" w:rsidRPr="002B0080" w:rsidRDefault="00126500" w:rsidP="00126500">
          <w:pPr>
            <w:keepLines w:val="0"/>
            <w:rPr>
              <w:color w:val="auto"/>
              <w:sz w:val="16"/>
              <w:szCs w:val="16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F978C5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TE West Midlands_Financial Report_2022.docx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259" w:type="dxa"/>
        </w:tcPr>
        <w:p w14:paraId="03A16A46" w14:textId="0E332C92" w:rsidR="00126500" w:rsidRPr="002B0080" w:rsidRDefault="0012650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310AB4">
            <w:rPr>
              <w:noProof/>
              <w:color w:val="auto"/>
              <w:sz w:val="16"/>
              <w:szCs w:val="16"/>
            </w:rPr>
            <w:fldChar w:fldCharType="begin"/>
          </w:r>
          <w:r w:rsidR="00310AB4">
            <w:rPr>
              <w:noProof/>
              <w:color w:val="auto"/>
              <w:sz w:val="16"/>
              <w:szCs w:val="16"/>
            </w:rPr>
            <w:instrText xml:space="preserve"> NUMPAGES   \* MERGEFORMAT </w:instrText>
          </w:r>
          <w:r w:rsidR="00310AB4">
            <w:rPr>
              <w:noProof/>
              <w:color w:val="auto"/>
              <w:sz w:val="16"/>
              <w:szCs w:val="16"/>
            </w:rPr>
            <w:fldChar w:fldCharType="separate"/>
          </w:r>
          <w:r w:rsidR="00310AB4">
            <w:rPr>
              <w:noProof/>
              <w:color w:val="auto"/>
              <w:sz w:val="16"/>
              <w:szCs w:val="16"/>
            </w:rPr>
            <w:t>5</w:t>
          </w:r>
          <w:r w:rsidR="00310AB4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126500" w:rsidRPr="002B0080" w14:paraId="1BC170D8" w14:textId="77777777" w:rsidTr="00126500">
      <w:tc>
        <w:tcPr>
          <w:tcW w:w="6517" w:type="dxa"/>
        </w:tcPr>
        <w:p w14:paraId="4298BCC6" w14:textId="4861BB9E" w:rsidR="00126500" w:rsidRPr="002B0080" w:rsidRDefault="00126500" w:rsidP="0012650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5B10BF">
            <w:rPr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</w:tcPr>
        <w:p w14:paraId="788EDD01" w14:textId="1DEF2A65" w:rsidR="00126500" w:rsidRPr="002B0080" w:rsidRDefault="0012650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F978C5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10-Oct-22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14:paraId="6712BD26" w14:textId="77777777" w:rsidR="002B0080" w:rsidRDefault="002B0080">
    <w:pPr>
      <w:pStyle w:val="Footer"/>
    </w:pPr>
  </w:p>
  <w:p w14:paraId="117C0DBE" w14:textId="77777777" w:rsidR="00EF040E" w:rsidRDefault="00EF0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8159" w14:textId="77777777" w:rsidR="00D716FF" w:rsidRDefault="00D716FF" w:rsidP="002B0080">
      <w:pPr>
        <w:spacing w:after="0"/>
      </w:pPr>
      <w:r>
        <w:separator/>
      </w:r>
    </w:p>
  </w:footnote>
  <w:footnote w:type="continuationSeparator" w:id="0">
    <w:p w14:paraId="08A03150" w14:textId="77777777" w:rsidR="00D716FF" w:rsidRDefault="00D716FF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523EC2DD" w:rsidR="002B0080" w:rsidRDefault="00143BBE" w:rsidP="00B832D5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F8" w14:textId="77777777" w:rsidR="000A0712" w:rsidRDefault="000A0712" w:rsidP="00B832D5">
    <w:pPr>
      <w:pStyle w:val="Header"/>
      <w:jc w:val="right"/>
    </w:pPr>
    <w:r>
      <w:rPr>
        <w:noProof/>
      </w:rPr>
      <w:drawing>
        <wp:inline distT="0" distB="0" distL="0" distR="0" wp14:anchorId="4336CBDC" wp14:editId="2837A00C">
          <wp:extent cx="1914525" cy="498063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B40"/>
    <w:multiLevelType w:val="hybridMultilevel"/>
    <w:tmpl w:val="CE7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7E8"/>
    <w:multiLevelType w:val="hybridMultilevel"/>
    <w:tmpl w:val="965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04CCE"/>
    <w:rsid w:val="00013612"/>
    <w:rsid w:val="00013BB9"/>
    <w:rsid w:val="000210FB"/>
    <w:rsid w:val="00021E5F"/>
    <w:rsid w:val="00023BC4"/>
    <w:rsid w:val="00033C9A"/>
    <w:rsid w:val="0003432A"/>
    <w:rsid w:val="0003766B"/>
    <w:rsid w:val="00041B36"/>
    <w:rsid w:val="00042FA5"/>
    <w:rsid w:val="000524CC"/>
    <w:rsid w:val="00057D46"/>
    <w:rsid w:val="00060DF2"/>
    <w:rsid w:val="00070517"/>
    <w:rsid w:val="00072D07"/>
    <w:rsid w:val="000812D9"/>
    <w:rsid w:val="0009031D"/>
    <w:rsid w:val="00093881"/>
    <w:rsid w:val="000A0712"/>
    <w:rsid w:val="000E144F"/>
    <w:rsid w:val="000E3E2C"/>
    <w:rsid w:val="00116797"/>
    <w:rsid w:val="00123A53"/>
    <w:rsid w:val="00126500"/>
    <w:rsid w:val="0013443D"/>
    <w:rsid w:val="00136954"/>
    <w:rsid w:val="00143BBE"/>
    <w:rsid w:val="0015094E"/>
    <w:rsid w:val="00151A5F"/>
    <w:rsid w:val="00154013"/>
    <w:rsid w:val="001549B7"/>
    <w:rsid w:val="001635F2"/>
    <w:rsid w:val="00171A0D"/>
    <w:rsid w:val="00184963"/>
    <w:rsid w:val="001871F3"/>
    <w:rsid w:val="0019176D"/>
    <w:rsid w:val="00194D5B"/>
    <w:rsid w:val="001A5272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361A1"/>
    <w:rsid w:val="00244DDF"/>
    <w:rsid w:val="00252872"/>
    <w:rsid w:val="00254CDA"/>
    <w:rsid w:val="00260513"/>
    <w:rsid w:val="00275442"/>
    <w:rsid w:val="00275B8D"/>
    <w:rsid w:val="00275F01"/>
    <w:rsid w:val="002851A0"/>
    <w:rsid w:val="00291153"/>
    <w:rsid w:val="002968C1"/>
    <w:rsid w:val="002A097F"/>
    <w:rsid w:val="002A1B44"/>
    <w:rsid w:val="002A1FF9"/>
    <w:rsid w:val="002A253B"/>
    <w:rsid w:val="002B0080"/>
    <w:rsid w:val="002F07A7"/>
    <w:rsid w:val="003079D4"/>
    <w:rsid w:val="00310AB4"/>
    <w:rsid w:val="00323176"/>
    <w:rsid w:val="00341C38"/>
    <w:rsid w:val="00351D84"/>
    <w:rsid w:val="003614E3"/>
    <w:rsid w:val="00367255"/>
    <w:rsid w:val="00371E01"/>
    <w:rsid w:val="00375B44"/>
    <w:rsid w:val="0039580B"/>
    <w:rsid w:val="0039675C"/>
    <w:rsid w:val="00397AA1"/>
    <w:rsid w:val="003A3B51"/>
    <w:rsid w:val="003A46D2"/>
    <w:rsid w:val="003A4F05"/>
    <w:rsid w:val="003D0817"/>
    <w:rsid w:val="003D2E1F"/>
    <w:rsid w:val="003F2CCE"/>
    <w:rsid w:val="003F62F4"/>
    <w:rsid w:val="00400012"/>
    <w:rsid w:val="00403A26"/>
    <w:rsid w:val="004162A6"/>
    <w:rsid w:val="004215FF"/>
    <w:rsid w:val="00447535"/>
    <w:rsid w:val="004564FA"/>
    <w:rsid w:val="004570CB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4F2034"/>
    <w:rsid w:val="0052145E"/>
    <w:rsid w:val="005246D4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C6040"/>
    <w:rsid w:val="005E3B04"/>
    <w:rsid w:val="005F2C3E"/>
    <w:rsid w:val="0060058F"/>
    <w:rsid w:val="006153CE"/>
    <w:rsid w:val="00635809"/>
    <w:rsid w:val="00654E2C"/>
    <w:rsid w:val="006601EE"/>
    <w:rsid w:val="006635FF"/>
    <w:rsid w:val="00667D3E"/>
    <w:rsid w:val="00673FDF"/>
    <w:rsid w:val="00681D68"/>
    <w:rsid w:val="0068338C"/>
    <w:rsid w:val="00690C58"/>
    <w:rsid w:val="006B6011"/>
    <w:rsid w:val="006B7AEF"/>
    <w:rsid w:val="006C0DC4"/>
    <w:rsid w:val="006D49C7"/>
    <w:rsid w:val="006F5671"/>
    <w:rsid w:val="007036A7"/>
    <w:rsid w:val="0071737C"/>
    <w:rsid w:val="0073125D"/>
    <w:rsid w:val="0073328A"/>
    <w:rsid w:val="00750336"/>
    <w:rsid w:val="00755647"/>
    <w:rsid w:val="0075697C"/>
    <w:rsid w:val="007644D8"/>
    <w:rsid w:val="00771912"/>
    <w:rsid w:val="007728A3"/>
    <w:rsid w:val="007733DD"/>
    <w:rsid w:val="00777FAA"/>
    <w:rsid w:val="0078362B"/>
    <w:rsid w:val="00786C03"/>
    <w:rsid w:val="0079164F"/>
    <w:rsid w:val="00792307"/>
    <w:rsid w:val="00796149"/>
    <w:rsid w:val="00796E39"/>
    <w:rsid w:val="007A5126"/>
    <w:rsid w:val="007A6AAA"/>
    <w:rsid w:val="007B7851"/>
    <w:rsid w:val="007F0896"/>
    <w:rsid w:val="007F44E8"/>
    <w:rsid w:val="00802D3C"/>
    <w:rsid w:val="008116D7"/>
    <w:rsid w:val="00813784"/>
    <w:rsid w:val="00813B90"/>
    <w:rsid w:val="00821B9F"/>
    <w:rsid w:val="008258B5"/>
    <w:rsid w:val="00835733"/>
    <w:rsid w:val="00851F58"/>
    <w:rsid w:val="00857C49"/>
    <w:rsid w:val="00863C85"/>
    <w:rsid w:val="008707C9"/>
    <w:rsid w:val="00870F41"/>
    <w:rsid w:val="00890354"/>
    <w:rsid w:val="00897C56"/>
    <w:rsid w:val="008E1069"/>
    <w:rsid w:val="008F2E02"/>
    <w:rsid w:val="009005D2"/>
    <w:rsid w:val="00905301"/>
    <w:rsid w:val="00906D85"/>
    <w:rsid w:val="00917FFA"/>
    <w:rsid w:val="00935D7C"/>
    <w:rsid w:val="009428B5"/>
    <w:rsid w:val="00945866"/>
    <w:rsid w:val="00947ABD"/>
    <w:rsid w:val="00960AF6"/>
    <w:rsid w:val="009628D0"/>
    <w:rsid w:val="009721D0"/>
    <w:rsid w:val="0099434C"/>
    <w:rsid w:val="0099643E"/>
    <w:rsid w:val="009A2F61"/>
    <w:rsid w:val="009C3C47"/>
    <w:rsid w:val="009D445D"/>
    <w:rsid w:val="009E3EB0"/>
    <w:rsid w:val="00A07E57"/>
    <w:rsid w:val="00A11DEA"/>
    <w:rsid w:val="00A152A8"/>
    <w:rsid w:val="00A40784"/>
    <w:rsid w:val="00A62F83"/>
    <w:rsid w:val="00A751A2"/>
    <w:rsid w:val="00A829F6"/>
    <w:rsid w:val="00A9018A"/>
    <w:rsid w:val="00A9222E"/>
    <w:rsid w:val="00A93199"/>
    <w:rsid w:val="00A97085"/>
    <w:rsid w:val="00AA3AEB"/>
    <w:rsid w:val="00AA4A3B"/>
    <w:rsid w:val="00AD0EDB"/>
    <w:rsid w:val="00AD2FF0"/>
    <w:rsid w:val="00AE64AA"/>
    <w:rsid w:val="00AE7D66"/>
    <w:rsid w:val="00B065F6"/>
    <w:rsid w:val="00B067A7"/>
    <w:rsid w:val="00B06839"/>
    <w:rsid w:val="00B071F4"/>
    <w:rsid w:val="00B264AE"/>
    <w:rsid w:val="00B41D62"/>
    <w:rsid w:val="00B437D1"/>
    <w:rsid w:val="00B65AC4"/>
    <w:rsid w:val="00B65C70"/>
    <w:rsid w:val="00B832D5"/>
    <w:rsid w:val="00B86B84"/>
    <w:rsid w:val="00B90D82"/>
    <w:rsid w:val="00BA7059"/>
    <w:rsid w:val="00BC0745"/>
    <w:rsid w:val="00BC3329"/>
    <w:rsid w:val="00BC7FE9"/>
    <w:rsid w:val="00BD3238"/>
    <w:rsid w:val="00C02110"/>
    <w:rsid w:val="00C12B2A"/>
    <w:rsid w:val="00C16E77"/>
    <w:rsid w:val="00C248F9"/>
    <w:rsid w:val="00C3313E"/>
    <w:rsid w:val="00C33169"/>
    <w:rsid w:val="00C437D3"/>
    <w:rsid w:val="00C55DC9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7D3B"/>
    <w:rsid w:val="00D50179"/>
    <w:rsid w:val="00D55BC9"/>
    <w:rsid w:val="00D565D2"/>
    <w:rsid w:val="00D661FE"/>
    <w:rsid w:val="00D66A90"/>
    <w:rsid w:val="00D700DA"/>
    <w:rsid w:val="00D716FF"/>
    <w:rsid w:val="00D747EB"/>
    <w:rsid w:val="00D86C1F"/>
    <w:rsid w:val="00D9110D"/>
    <w:rsid w:val="00D96310"/>
    <w:rsid w:val="00DB5C9E"/>
    <w:rsid w:val="00DC0ACE"/>
    <w:rsid w:val="00DC137F"/>
    <w:rsid w:val="00DC6F5E"/>
    <w:rsid w:val="00DD7663"/>
    <w:rsid w:val="00DE5573"/>
    <w:rsid w:val="00DE7E67"/>
    <w:rsid w:val="00DF0093"/>
    <w:rsid w:val="00E0163D"/>
    <w:rsid w:val="00E06E5A"/>
    <w:rsid w:val="00E15D64"/>
    <w:rsid w:val="00E1748A"/>
    <w:rsid w:val="00E3764B"/>
    <w:rsid w:val="00E47826"/>
    <w:rsid w:val="00E634E0"/>
    <w:rsid w:val="00E65968"/>
    <w:rsid w:val="00E71993"/>
    <w:rsid w:val="00E81B8F"/>
    <w:rsid w:val="00EB3EF9"/>
    <w:rsid w:val="00EB6559"/>
    <w:rsid w:val="00EB773B"/>
    <w:rsid w:val="00EB7C07"/>
    <w:rsid w:val="00ED45DF"/>
    <w:rsid w:val="00EF040E"/>
    <w:rsid w:val="00F20241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57E1"/>
    <w:rsid w:val="00F90DC1"/>
    <w:rsid w:val="00F978C5"/>
    <w:rsid w:val="00FA479D"/>
    <w:rsid w:val="00FC084C"/>
    <w:rsid w:val="00FC78C0"/>
    <w:rsid w:val="00FC79C8"/>
    <w:rsid w:val="00FD51F8"/>
    <w:rsid w:val="00FD6F19"/>
    <w:rsid w:val="00FE3DCF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4</cp:revision>
  <cp:lastPrinted>2022-08-02T14:24:00Z</cp:lastPrinted>
  <dcterms:created xsi:type="dcterms:W3CDTF">2022-10-10T12:56:00Z</dcterms:created>
  <dcterms:modified xsi:type="dcterms:W3CDTF">2022-10-10T14:04:00Z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